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176" w:type="dxa"/>
        <w:jc w:val="center"/>
        <w:tblLook w:val="0000" w:firstRow="0" w:lastRow="0" w:firstColumn="0" w:lastColumn="0" w:noHBand="0" w:noVBand="0"/>
      </w:tblPr>
      <w:tblGrid>
        <w:gridCol w:w="4219"/>
        <w:gridCol w:w="2835"/>
        <w:gridCol w:w="6122"/>
      </w:tblGrid>
      <w:tr w:rsidR="003740BF" w:rsidRPr="005B5667" w14:paraId="67162579" w14:textId="77777777" w:rsidTr="003740BF">
        <w:trPr>
          <w:trHeight w:val="1139"/>
          <w:jc w:val="center"/>
        </w:trPr>
        <w:tc>
          <w:tcPr>
            <w:tcW w:w="4219" w:type="dxa"/>
          </w:tcPr>
          <w:p w14:paraId="3BF7531E" w14:textId="2F071528" w:rsidR="003740BF" w:rsidRPr="005B5667" w:rsidRDefault="003740BF" w:rsidP="003740BF">
            <w:pPr>
              <w:keepNext/>
              <w:widowControl/>
              <w:suppressAutoHyphens w:val="0"/>
              <w:jc w:val="center"/>
              <w:outlineLvl w:val="0"/>
              <w:rPr>
                <w:rFonts w:ascii="Times New Roman" w:hAnsi="Times New Roman" w:cs="Times New Roman"/>
                <w:bCs/>
                <w:color w:val="000000" w:themeColor="text1"/>
                <w:kern w:val="32"/>
                <w:sz w:val="26"/>
                <w:szCs w:val="26"/>
                <w:lang w:val="x-none" w:eastAsia="x-none"/>
              </w:rPr>
            </w:pPr>
            <w:bookmarkStart w:id="0" w:name="_GoBack"/>
            <w:bookmarkEnd w:id="0"/>
            <w:r w:rsidRPr="005B5667">
              <w:rPr>
                <w:rFonts w:ascii="Times New Roman" w:hAnsi="Times New Roman" w:cs="Times New Roman"/>
                <w:bCs/>
                <w:color w:val="000000" w:themeColor="text1"/>
                <w:kern w:val="32"/>
                <w:sz w:val="26"/>
                <w:szCs w:val="26"/>
                <w:lang w:val="x-none" w:eastAsia="x-none"/>
              </w:rPr>
              <w:t>UBND THÀNH PHỐ HÀ NỘI</w:t>
            </w:r>
          </w:p>
          <w:p w14:paraId="1A3C8955" w14:textId="77777777" w:rsidR="003740BF" w:rsidRPr="005B5667" w:rsidRDefault="003740BF" w:rsidP="003740BF">
            <w:pPr>
              <w:widowControl/>
              <w:suppressAutoHyphens w:val="0"/>
              <w:jc w:val="center"/>
              <w:rPr>
                <w:rFonts w:ascii="Times New Roman" w:eastAsia="Arial" w:hAnsi="Times New Roman" w:cs="Times New Roman"/>
                <w:b/>
                <w:bCs/>
                <w:color w:val="000000" w:themeColor="text1"/>
                <w:sz w:val="26"/>
                <w:szCs w:val="26"/>
                <w:lang w:val="en-US" w:eastAsia="en-US"/>
              </w:rPr>
            </w:pPr>
            <w:r w:rsidRPr="005B5667">
              <w:rPr>
                <w:rFonts w:ascii="Times New Roman" w:eastAsia="Arial" w:hAnsi="Times New Roman" w:cs="Times New Roman"/>
                <w:b/>
                <w:bCs/>
                <w:color w:val="000000" w:themeColor="text1"/>
                <w:sz w:val="26"/>
                <w:szCs w:val="26"/>
                <w:lang w:val="en-US" w:eastAsia="en-US"/>
              </w:rPr>
              <w:t>SỞ XÂY DỰNG</w:t>
            </w:r>
          </w:p>
          <w:p w14:paraId="3BDB5346" w14:textId="40E338FA" w:rsidR="003740BF" w:rsidRPr="005B5667" w:rsidRDefault="003362DE" w:rsidP="003740BF">
            <w:pPr>
              <w:widowControl/>
              <w:suppressAutoHyphens w:val="0"/>
              <w:spacing w:before="240"/>
              <w:jc w:val="center"/>
              <w:rPr>
                <w:rFonts w:ascii="Times New Roman" w:eastAsia="Arial" w:hAnsi="Times New Roman" w:cs="Times New Roman"/>
                <w:color w:val="000000" w:themeColor="text1"/>
                <w:sz w:val="26"/>
                <w:szCs w:val="26"/>
                <w:lang w:val="en-US" w:eastAsia="en-US"/>
              </w:rPr>
            </w:pPr>
            <w:r w:rsidRPr="005B5667">
              <w:rPr>
                <w:noProof/>
                <w:color w:val="000000" w:themeColor="text1"/>
                <w:lang w:val="en-US" w:eastAsia="en-US"/>
              </w:rPr>
              <mc:AlternateContent>
                <mc:Choice Requires="wps">
                  <w:drawing>
                    <wp:anchor distT="4294967295" distB="4294967295" distL="114300" distR="114300" simplePos="0" relativeHeight="251662336" behindDoc="0" locked="0" layoutInCell="1" allowOverlap="1" wp14:anchorId="05683556" wp14:editId="6E0B41AB">
                      <wp:simplePos x="0" y="0"/>
                      <wp:positionH relativeFrom="column">
                        <wp:posOffset>878205</wp:posOffset>
                      </wp:positionH>
                      <wp:positionV relativeFrom="paragraph">
                        <wp:posOffset>26034</wp:posOffset>
                      </wp:positionV>
                      <wp:extent cx="777240" cy="0"/>
                      <wp:effectExtent l="0" t="0" r="0" b="0"/>
                      <wp:wrapNone/>
                      <wp:docPr id="1988035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F7EA674"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15pt,2.05pt" to="130.3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"/>
                  </w:pict>
                </mc:Fallback>
              </mc:AlternateContent>
            </w:r>
          </w:p>
        </w:tc>
        <w:tc>
          <w:tcPr>
            <w:tcW w:w="2835" w:type="dxa"/>
          </w:tcPr>
          <w:p w14:paraId="7C5F2F5B" w14:textId="77777777" w:rsidR="003740BF" w:rsidRPr="005B5667" w:rsidRDefault="003740BF" w:rsidP="003740BF">
            <w:pPr>
              <w:keepNext/>
              <w:widowControl/>
              <w:suppressAutoHyphens w:val="0"/>
              <w:outlineLvl w:val="0"/>
              <w:rPr>
                <w:rFonts w:ascii="Times New Roman" w:hAnsi="Times New Roman" w:cs="Times New Roman"/>
                <w:b/>
                <w:bCs/>
                <w:color w:val="000000" w:themeColor="text1"/>
                <w:kern w:val="32"/>
                <w:sz w:val="26"/>
                <w:szCs w:val="26"/>
                <w:lang w:val="x-none" w:eastAsia="x-none"/>
              </w:rPr>
            </w:pPr>
          </w:p>
        </w:tc>
        <w:tc>
          <w:tcPr>
            <w:tcW w:w="6122" w:type="dxa"/>
          </w:tcPr>
          <w:p w14:paraId="68167C3E" w14:textId="5E9E5CE9" w:rsidR="003740BF" w:rsidRPr="005B5667" w:rsidRDefault="003740BF" w:rsidP="003740BF">
            <w:pPr>
              <w:keepNext/>
              <w:widowControl/>
              <w:suppressAutoHyphens w:val="0"/>
              <w:outlineLvl w:val="0"/>
              <w:rPr>
                <w:rFonts w:ascii="Times New Roman" w:hAnsi="Times New Roman" w:cs="Times New Roman"/>
                <w:b/>
                <w:bCs/>
                <w:color w:val="000000" w:themeColor="text1"/>
                <w:kern w:val="32"/>
                <w:sz w:val="26"/>
                <w:szCs w:val="26"/>
                <w:lang w:val="x-none" w:eastAsia="x-none"/>
              </w:rPr>
            </w:pPr>
            <w:r w:rsidRPr="005B5667">
              <w:rPr>
                <w:rFonts w:ascii="Times New Roman" w:hAnsi="Times New Roman" w:cs="Times New Roman"/>
                <w:b/>
                <w:bCs/>
                <w:color w:val="000000" w:themeColor="text1"/>
                <w:kern w:val="32"/>
                <w:sz w:val="26"/>
                <w:szCs w:val="26"/>
                <w:lang w:val="x-none" w:eastAsia="x-none"/>
              </w:rPr>
              <w:t>CỘNG HOÀ XÃ HỘI CHỦ NGHĨA VIỆT NAM</w:t>
            </w:r>
          </w:p>
          <w:p w14:paraId="41A9523B" w14:textId="77777777" w:rsidR="003740BF" w:rsidRPr="005B5667" w:rsidRDefault="003740BF" w:rsidP="003740BF">
            <w:pPr>
              <w:keepNext/>
              <w:widowControl/>
              <w:suppressAutoHyphens w:val="0"/>
              <w:jc w:val="center"/>
              <w:outlineLvl w:val="0"/>
              <w:rPr>
                <w:rFonts w:ascii="Times New Roman" w:hAnsi="Times New Roman" w:cs="Times New Roman"/>
                <w:b/>
                <w:bCs/>
                <w:color w:val="000000" w:themeColor="text1"/>
                <w:kern w:val="32"/>
                <w:sz w:val="26"/>
                <w:szCs w:val="26"/>
                <w:lang w:val="x-none" w:eastAsia="x-none"/>
              </w:rPr>
            </w:pPr>
            <w:r w:rsidRPr="005B5667">
              <w:rPr>
                <w:rFonts w:ascii="Times New Roman" w:hAnsi="Times New Roman" w:cs="Times New Roman"/>
                <w:b/>
                <w:bCs/>
                <w:color w:val="000000" w:themeColor="text1"/>
                <w:kern w:val="32"/>
                <w:sz w:val="28"/>
                <w:szCs w:val="28"/>
                <w:lang w:val="x-none" w:eastAsia="x-none"/>
              </w:rPr>
              <w:t>Độc lập –Tự do – Hạnh phúc</w:t>
            </w:r>
          </w:p>
          <w:p w14:paraId="17C47701" w14:textId="5033C9E6" w:rsidR="003740BF" w:rsidRPr="005B5667" w:rsidRDefault="003362DE" w:rsidP="00534854">
            <w:pPr>
              <w:widowControl/>
              <w:suppressAutoHyphens w:val="0"/>
              <w:spacing w:before="240" w:line="360" w:lineRule="exact"/>
              <w:jc w:val="center"/>
              <w:rPr>
                <w:rFonts w:ascii="Times New Roman" w:eastAsia="Arial" w:hAnsi="Times New Roman" w:cs="Times New Roman"/>
                <w:color w:val="000000" w:themeColor="text1"/>
                <w:lang w:val="en-US" w:eastAsia="en-US"/>
              </w:rPr>
            </w:pPr>
            <w:r w:rsidRPr="005B5667">
              <w:rPr>
                <w:noProof/>
                <w:color w:val="000000" w:themeColor="text1"/>
                <w:lang w:val="en-US" w:eastAsia="en-US"/>
              </w:rPr>
              <mc:AlternateContent>
                <mc:Choice Requires="wps">
                  <w:drawing>
                    <wp:anchor distT="4294967295" distB="4294967295" distL="114300" distR="114300" simplePos="0" relativeHeight="251663360" behindDoc="0" locked="0" layoutInCell="1" allowOverlap="1" wp14:anchorId="4E92F6CC" wp14:editId="02943028">
                      <wp:simplePos x="0" y="0"/>
                      <wp:positionH relativeFrom="column">
                        <wp:posOffset>768350</wp:posOffset>
                      </wp:positionH>
                      <wp:positionV relativeFrom="paragraph">
                        <wp:posOffset>23494</wp:posOffset>
                      </wp:positionV>
                      <wp:extent cx="2228850" cy="0"/>
                      <wp:effectExtent l="0" t="0" r="0" b="0"/>
                      <wp:wrapNone/>
                      <wp:docPr id="187186076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ED20C00"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pt,1.85pt" to="23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"/>
                  </w:pict>
                </mc:Fallback>
              </mc:AlternateContent>
            </w:r>
            <w:r w:rsidR="003740BF" w:rsidRPr="005B5667">
              <w:rPr>
                <w:rFonts w:ascii="Times New Roman" w:eastAsia="Arial" w:hAnsi="Times New Roman" w:cs="Times New Roman"/>
                <w:i/>
                <w:iCs/>
                <w:color w:val="000000" w:themeColor="text1"/>
                <w:sz w:val="28"/>
                <w:szCs w:val="28"/>
                <w:lang w:val="en-US" w:eastAsia="en-US"/>
              </w:rPr>
              <w:t xml:space="preserve">Hà Nội, ngày      tháng </w:t>
            </w:r>
            <w:r w:rsidR="00534854">
              <w:rPr>
                <w:rFonts w:ascii="Times New Roman" w:eastAsia="Arial" w:hAnsi="Times New Roman" w:cs="Times New Roman"/>
                <w:i/>
                <w:iCs/>
                <w:color w:val="000000" w:themeColor="text1"/>
                <w:sz w:val="28"/>
                <w:szCs w:val="28"/>
                <w:lang w:val="en-US" w:eastAsia="en-US"/>
              </w:rPr>
              <w:t xml:space="preserve">  </w:t>
            </w:r>
            <w:r w:rsidR="003740BF" w:rsidRPr="005B5667">
              <w:rPr>
                <w:rFonts w:ascii="Times New Roman" w:eastAsia="Arial" w:hAnsi="Times New Roman" w:cs="Times New Roman"/>
                <w:i/>
                <w:iCs/>
                <w:color w:val="000000" w:themeColor="text1"/>
                <w:sz w:val="28"/>
                <w:szCs w:val="28"/>
                <w:lang w:val="en-US" w:eastAsia="en-US"/>
              </w:rPr>
              <w:t xml:space="preserve"> năm 202</w:t>
            </w:r>
            <w:r w:rsidR="00534854">
              <w:rPr>
                <w:rFonts w:ascii="Times New Roman" w:eastAsia="Arial" w:hAnsi="Times New Roman" w:cs="Times New Roman"/>
                <w:i/>
                <w:iCs/>
                <w:color w:val="000000" w:themeColor="text1"/>
                <w:sz w:val="28"/>
                <w:szCs w:val="28"/>
                <w:lang w:val="en-US" w:eastAsia="en-US"/>
              </w:rPr>
              <w:t>6</w:t>
            </w:r>
          </w:p>
        </w:tc>
      </w:tr>
    </w:tbl>
    <w:p w14:paraId="1C56CCB5" w14:textId="77777777" w:rsidR="003740BF" w:rsidRPr="005B5667" w:rsidRDefault="003740BF" w:rsidP="003740BF">
      <w:pPr>
        <w:spacing w:line="276" w:lineRule="auto"/>
        <w:jc w:val="center"/>
        <w:rPr>
          <w:rFonts w:ascii="Times New Roman" w:eastAsia="Yu Gothic;游ゴシック" w:hAnsi="Times New Roman" w:cs="Times New Roman"/>
          <w:b/>
          <w:bCs/>
          <w:color w:val="000000" w:themeColor="text1"/>
          <w:sz w:val="26"/>
          <w:szCs w:val="26"/>
          <w:lang w:val="en-US"/>
        </w:rPr>
      </w:pPr>
    </w:p>
    <w:p w14:paraId="11BA3EB7" w14:textId="12D744D5" w:rsidR="00F70D86" w:rsidRDefault="007448D1" w:rsidP="003740BF">
      <w:pPr>
        <w:spacing w:line="276" w:lineRule="auto"/>
        <w:jc w:val="center"/>
        <w:rPr>
          <w:rFonts w:ascii="Times New Roman" w:eastAsia="Yu Gothic;游ゴシック" w:hAnsi="Times New Roman" w:cs="Times New Roman"/>
          <w:b/>
          <w:bCs/>
          <w:color w:val="000000" w:themeColor="text1"/>
          <w:sz w:val="26"/>
          <w:szCs w:val="26"/>
          <w:lang w:val="en-US"/>
        </w:rPr>
      </w:pPr>
      <w:r w:rsidRPr="005B5667">
        <w:rPr>
          <w:rFonts w:ascii="Times New Roman" w:eastAsia="Yu Gothic;游ゴシック" w:hAnsi="Times New Roman" w:cs="Times New Roman"/>
          <w:b/>
          <w:bCs/>
          <w:color w:val="000000" w:themeColor="text1"/>
          <w:sz w:val="26"/>
          <w:szCs w:val="26"/>
        </w:rPr>
        <w:t>BẢN SO SÁNH, THUYẾT MINH NỘI DUNG DỰ THẢO</w:t>
      </w:r>
      <w:r w:rsidR="0090699C" w:rsidRPr="005B5667">
        <w:rPr>
          <w:rFonts w:ascii="Times New Roman" w:eastAsia="Yu Gothic;游ゴシック" w:hAnsi="Times New Roman" w:cs="Times New Roman"/>
          <w:b/>
          <w:bCs/>
          <w:color w:val="000000" w:themeColor="text1"/>
          <w:sz w:val="26"/>
          <w:szCs w:val="26"/>
          <w:lang w:val="en-US"/>
        </w:rPr>
        <w:t xml:space="preserve"> </w:t>
      </w:r>
      <w:r w:rsidR="003740BF" w:rsidRPr="005B5667">
        <w:rPr>
          <w:rFonts w:ascii="Times New Roman" w:eastAsia="Yu Gothic;游ゴシック" w:hAnsi="Times New Roman" w:cs="Times New Roman"/>
          <w:b/>
          <w:bCs/>
          <w:color w:val="000000" w:themeColor="text1"/>
          <w:sz w:val="26"/>
          <w:szCs w:val="26"/>
        </w:rPr>
        <w:t xml:space="preserve">NGHỊ </w:t>
      </w:r>
      <w:r w:rsidR="002A7165" w:rsidRPr="005B5667">
        <w:rPr>
          <w:rFonts w:ascii="Times New Roman" w:eastAsia="Yu Gothic;游ゴシック" w:hAnsi="Times New Roman" w:cs="Times New Roman"/>
          <w:b/>
          <w:bCs/>
          <w:color w:val="000000" w:themeColor="text1"/>
          <w:sz w:val="26"/>
          <w:szCs w:val="26"/>
        </w:rPr>
        <w:t>QUYẾT</w:t>
      </w:r>
      <w:r w:rsidR="002A7165" w:rsidRPr="005B5667">
        <w:rPr>
          <w:rFonts w:ascii="Times New Roman" w:eastAsia="Yu Gothic;游ゴシック" w:hAnsi="Times New Roman" w:cs="Times New Roman"/>
          <w:b/>
          <w:bCs/>
          <w:color w:val="000000" w:themeColor="text1"/>
          <w:sz w:val="26"/>
          <w:szCs w:val="26"/>
          <w:lang w:val="en-US"/>
        </w:rPr>
        <w:t xml:space="preserve"> </w:t>
      </w:r>
      <w:r w:rsidR="002A7165" w:rsidRPr="002A7165">
        <w:rPr>
          <w:rFonts w:ascii="Times New Roman" w:eastAsia="Yu Gothic;游ゴシック" w:hAnsi="Times New Roman" w:cs="Times New Roman"/>
          <w:b/>
          <w:bCs/>
          <w:color w:val="000000" w:themeColor="text1"/>
          <w:sz w:val="26"/>
          <w:szCs w:val="26"/>
        </w:rPr>
        <w:t>QUY ĐỊNH MỘT SỐ CHÍNH SÁCH HỖ TRỢ TỔ CHỨC, CÁ NHÂN THỰC HIỆN CHUYỂN ĐỔI PHƯƠNG TIỆN GIAO THÔNG ĐƯỜNG BỘ TỪ SỬ DỤNG NHIÊN LIỆU HÓA THẠCH SANG SỬ DỤNG NĂNG LƯỢNG SẠCH; HỖ TRỢ ĐẦU TƯ PHÁT TRIỂN HẠ TẦNG GIAO THÔNG ĐƯỜNG BỘ SỬ DỤNG NĂNG LƯỢNG SẠCH, GIAO THÔNG PHI CƠ GIỚI; QUY ĐỊNH MỘT SỐ BIỆN PHÁP HẠN CHẾ SỬ DỤNG PHƯƠNG TIỆN GIAO THÔNG ĐƯỜNG BỘ PHÁT THẢI GÂY Ô NHIỄM MÔI TRƯỜNG TRÊN ĐỊA BÀN THÀNH PHỐ HÀ NỘI</w:t>
      </w:r>
    </w:p>
    <w:p w14:paraId="41D3F847" w14:textId="77777777" w:rsidR="002A7165" w:rsidRDefault="002A7165" w:rsidP="003740BF">
      <w:pPr>
        <w:spacing w:line="276" w:lineRule="auto"/>
        <w:jc w:val="center"/>
        <w:rPr>
          <w:rFonts w:ascii="Times New Roman" w:eastAsia="Yu Gothic;游ゴシック" w:hAnsi="Times New Roman" w:cs="Times New Roman"/>
          <w:b/>
          <w:bCs/>
          <w:color w:val="000000" w:themeColor="text1"/>
          <w:sz w:val="26"/>
          <w:szCs w:val="26"/>
          <w:lang w:val="en-US"/>
        </w:rPr>
      </w:pPr>
    </w:p>
    <w:tbl>
      <w:tblPr>
        <w:tblW w:w="511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2"/>
        <w:gridCol w:w="1493"/>
        <w:gridCol w:w="6001"/>
        <w:gridCol w:w="5297"/>
      </w:tblGrid>
      <w:tr w:rsidR="002A7165" w:rsidRPr="002A7165" w14:paraId="1F1C52DD" w14:textId="77777777" w:rsidTr="002A7165">
        <w:trPr>
          <w:tblHeader/>
        </w:trPr>
        <w:tc>
          <w:tcPr>
            <w:tcW w:w="185" w:type="pct"/>
            <w:hideMark/>
          </w:tcPr>
          <w:p w14:paraId="16CAADF0" w14:textId="77777777" w:rsidR="002A7165" w:rsidRPr="002A7165" w:rsidRDefault="002A7165" w:rsidP="006A017E">
            <w:pPr>
              <w:spacing w:line="278" w:lineRule="auto"/>
              <w:ind w:left="57" w:right="57"/>
              <w:jc w:val="center"/>
              <w:rPr>
                <w:rFonts w:ascii="Times New Roman" w:hAnsi="Times New Roman" w:cs="Times New Roman"/>
                <w:b/>
                <w:bCs/>
                <w:sz w:val="26"/>
                <w:szCs w:val="26"/>
              </w:rPr>
            </w:pPr>
            <w:r w:rsidRPr="002A7165">
              <w:rPr>
                <w:rFonts w:ascii="Times New Roman" w:hAnsi="Times New Roman" w:cs="Times New Roman"/>
                <w:b/>
                <w:bCs/>
                <w:sz w:val="26"/>
                <w:szCs w:val="26"/>
              </w:rPr>
              <w:t>TT</w:t>
            </w:r>
          </w:p>
        </w:tc>
        <w:tc>
          <w:tcPr>
            <w:tcW w:w="562" w:type="pct"/>
            <w:hideMark/>
          </w:tcPr>
          <w:p w14:paraId="787F8589" w14:textId="77777777" w:rsidR="002A7165" w:rsidRPr="002A7165" w:rsidRDefault="002A7165" w:rsidP="006A017E">
            <w:pPr>
              <w:spacing w:line="278" w:lineRule="auto"/>
              <w:ind w:left="57" w:right="57"/>
              <w:jc w:val="center"/>
              <w:rPr>
                <w:rFonts w:ascii="Times New Roman" w:hAnsi="Times New Roman" w:cs="Times New Roman"/>
                <w:b/>
                <w:bCs/>
                <w:sz w:val="26"/>
                <w:szCs w:val="26"/>
              </w:rPr>
            </w:pPr>
            <w:r w:rsidRPr="002A7165">
              <w:rPr>
                <w:rFonts w:ascii="Times New Roman" w:hAnsi="Times New Roman" w:cs="Times New Roman"/>
                <w:b/>
                <w:bCs/>
                <w:sz w:val="26"/>
                <w:szCs w:val="26"/>
              </w:rPr>
              <w:t>NỘI DUNG</w:t>
            </w:r>
          </w:p>
        </w:tc>
        <w:tc>
          <w:tcPr>
            <w:tcW w:w="2259" w:type="pct"/>
            <w:hideMark/>
          </w:tcPr>
          <w:p w14:paraId="4F32BF32" w14:textId="77777777" w:rsidR="002A7165" w:rsidRPr="002A7165" w:rsidRDefault="002A7165" w:rsidP="006A017E">
            <w:pPr>
              <w:spacing w:line="278" w:lineRule="auto"/>
              <w:ind w:left="57" w:right="57"/>
              <w:jc w:val="center"/>
              <w:rPr>
                <w:rFonts w:ascii="Times New Roman" w:hAnsi="Times New Roman" w:cs="Times New Roman"/>
                <w:b/>
                <w:bCs/>
                <w:sz w:val="26"/>
                <w:szCs w:val="26"/>
              </w:rPr>
            </w:pPr>
            <w:r w:rsidRPr="002A7165">
              <w:rPr>
                <w:rFonts w:ascii="Times New Roman" w:hAnsi="Times New Roman" w:cs="Times New Roman"/>
                <w:b/>
                <w:bCs/>
                <w:sz w:val="26"/>
                <w:szCs w:val="26"/>
              </w:rPr>
              <w:t>DỰ THẢO VĂN BẢN</w:t>
            </w:r>
          </w:p>
        </w:tc>
        <w:tc>
          <w:tcPr>
            <w:tcW w:w="1994" w:type="pct"/>
            <w:hideMark/>
          </w:tcPr>
          <w:p w14:paraId="68DDC6B1" w14:textId="77777777" w:rsidR="002A7165" w:rsidRPr="002A7165" w:rsidRDefault="002A7165" w:rsidP="006A017E">
            <w:pPr>
              <w:spacing w:line="278" w:lineRule="auto"/>
              <w:ind w:left="57" w:right="57"/>
              <w:jc w:val="center"/>
              <w:rPr>
                <w:rFonts w:ascii="Times New Roman" w:hAnsi="Times New Roman" w:cs="Times New Roman"/>
                <w:b/>
                <w:bCs/>
                <w:sz w:val="26"/>
                <w:szCs w:val="26"/>
              </w:rPr>
            </w:pPr>
            <w:r w:rsidRPr="002A7165">
              <w:rPr>
                <w:rFonts w:ascii="Times New Roman" w:hAnsi="Times New Roman" w:cs="Times New Roman"/>
                <w:b/>
                <w:bCs/>
                <w:sz w:val="26"/>
                <w:szCs w:val="26"/>
              </w:rPr>
              <w:t>THUYẾT MINH</w:t>
            </w:r>
          </w:p>
        </w:tc>
      </w:tr>
      <w:tr w:rsidR="002A7165" w:rsidRPr="002A7165" w14:paraId="47E8F33C" w14:textId="77777777" w:rsidTr="002A7165">
        <w:tc>
          <w:tcPr>
            <w:tcW w:w="185" w:type="pct"/>
            <w:hideMark/>
          </w:tcPr>
          <w:p w14:paraId="1CA3A49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1</w:t>
            </w:r>
          </w:p>
        </w:tc>
        <w:tc>
          <w:tcPr>
            <w:tcW w:w="562" w:type="pct"/>
            <w:hideMark/>
          </w:tcPr>
          <w:p w14:paraId="4CEE8A4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Phạm vi điều chỉnh</w:t>
            </w:r>
          </w:p>
        </w:tc>
        <w:tc>
          <w:tcPr>
            <w:tcW w:w="2259" w:type="pct"/>
            <w:hideMark/>
          </w:tcPr>
          <w:p w14:paraId="763A9F1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1. Phạm vi điều chỉnh</w:t>
            </w:r>
            <w:r w:rsidRPr="002A7165">
              <w:rPr>
                <w:rFonts w:ascii="Times New Roman" w:hAnsi="Times New Roman" w:cs="Times New Roman"/>
                <w:sz w:val="26"/>
                <w:szCs w:val="26"/>
              </w:rPr>
              <w:t xml:space="preserve"> </w:t>
            </w:r>
          </w:p>
          <w:p w14:paraId="41F59656"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Nghị quyết này quy định một số chính sách hỗ trợ tổ chức, cá nhân thực hiện chuyển đổi phương tiện giao thông đường bộ từ sử dụng nhiên liệu hóa thạch sang sử dụng năng lượng sạch; hỗ trợ đầu tư phát triển hạ tầng giao thông đường bộ sử dụng năng lượng sạch, giao thông phi cơ giới; quy định một số biện pháp hạn chế sử dụng phương tiện giao thông đường bộ phát thải gây ô nhiễm môi trường trên địa bàn thành phố Hà Nội thực hiện theo quy định tại điểm g khoản 1 Điều 13 Luật Thủ đô số 02/2026/QH16.</w:t>
            </w:r>
          </w:p>
        </w:tc>
        <w:tc>
          <w:tcPr>
            <w:tcW w:w="1994" w:type="pct"/>
            <w:hideMark/>
          </w:tcPr>
          <w:p w14:paraId="35B90A4D" w14:textId="77777777" w:rsid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 Thực hiện nhiệm vụ của Quốc hội giao Hội đồng nhân dân Thành phố ban hành nghị quyết quy định chi tiết thi hành điểm g khoản 1 Điều 13 Luật Thủ đô số 02/2026/QH16. Cụ thể, </w:t>
            </w:r>
            <w:r w:rsidRPr="002A7165">
              <w:rPr>
                <w:rFonts w:ascii="Times New Roman" w:hAnsi="Times New Roman" w:cs="Times New Roman"/>
                <w:i/>
                <w:iCs/>
                <w:sz w:val="26"/>
                <w:szCs w:val="26"/>
              </w:rPr>
              <w:t>“Hội đồng nhân dân Thành phố quy định chính sách hỗ trợ đầu tư phát triển hạ tầng giao thông sử dụng năng lượng sạch, giao thông phi cơ giới; hỗ trợ chuyển đổi phương tiện giao thông từ sử dụng nhiên liệu hóa thạch sang sử dụng năng lượng sạch; biện pháp hạn chế sử dụng phương tiện giao thông phát thải gây ô nhiễm môi trường”</w:t>
            </w:r>
            <w:r w:rsidRPr="002A7165">
              <w:rPr>
                <w:rFonts w:ascii="Times New Roman" w:hAnsi="Times New Roman" w:cs="Times New Roman"/>
                <w:sz w:val="26"/>
                <w:szCs w:val="26"/>
              </w:rPr>
              <w:t>.</w:t>
            </w:r>
          </w:p>
          <w:p w14:paraId="76CB787B" w14:textId="77777777" w:rsidR="00E02FF4" w:rsidRPr="00E02FF4" w:rsidRDefault="00E02FF4" w:rsidP="00E02FF4">
            <w:pPr>
              <w:spacing w:line="278" w:lineRule="auto"/>
              <w:ind w:left="57" w:right="57"/>
              <w:jc w:val="both"/>
              <w:rPr>
                <w:rFonts w:ascii="Times New Roman" w:hAnsi="Times New Roman" w:cs="Times New Roman"/>
                <w:sz w:val="26"/>
                <w:szCs w:val="26"/>
              </w:rPr>
            </w:pPr>
            <w:r w:rsidRPr="00E02FF4">
              <w:rPr>
                <w:rFonts w:ascii="Times New Roman" w:hAnsi="Times New Roman" w:cs="Times New Roman"/>
                <w:sz w:val="26"/>
                <w:szCs w:val="26"/>
              </w:rPr>
              <w:t xml:space="preserve">Phạm vi điều chỉnh theo điểm g khoản 1 Điều 13 Luật Thủ đô số 02/2026/QH16 là tương đối rộng. Nghị quyết này chỉ quy định một số chính sách hỗ trợ tổ chức, cá nhân thực hiện chuyển đổi phương tiện giao thông đường bộ từ sử dụng nhiên liệu </w:t>
            </w:r>
            <w:r w:rsidRPr="00E02FF4">
              <w:rPr>
                <w:rFonts w:ascii="Times New Roman" w:hAnsi="Times New Roman" w:cs="Times New Roman"/>
                <w:sz w:val="26"/>
                <w:szCs w:val="26"/>
              </w:rPr>
              <w:lastRenderedPageBreak/>
              <w:t>hóa thạch sang sử dụng năng lượng sạch; hỗ trợ đầu tư phát triển hạ tầng giao thông đường bộ sử dụng năng lượng sạch, giao thông phi cơ giới; quy định một số biện pháp hạn chế sử dụng phương tiện giao thông đường bộ phát thải gây ô nhiễm môi trường trên địa bàn thành phố Hà Nội.</w:t>
            </w:r>
          </w:p>
          <w:p w14:paraId="05953398" w14:textId="76D9ED7B" w:rsidR="00E02FF4" w:rsidRPr="002A7165" w:rsidRDefault="00E02FF4" w:rsidP="00E02FF4">
            <w:pPr>
              <w:spacing w:line="278" w:lineRule="auto"/>
              <w:ind w:left="57" w:right="57"/>
              <w:jc w:val="both"/>
              <w:rPr>
                <w:rFonts w:ascii="Times New Roman" w:hAnsi="Times New Roman" w:cs="Times New Roman"/>
                <w:sz w:val="26"/>
                <w:szCs w:val="26"/>
              </w:rPr>
            </w:pPr>
            <w:r w:rsidRPr="00E02FF4">
              <w:rPr>
                <w:rFonts w:ascii="Times New Roman" w:hAnsi="Times New Roman" w:cs="Times New Roman"/>
                <w:sz w:val="26"/>
                <w:szCs w:val="26"/>
              </w:rPr>
              <w:t>Các chính phát triển hạ tầng giao thông khác như: đường sắt, đường hàng không, bến bãi đỗ xe... sẽ được quy định tại các Nghị quyết khác của HĐND Thành phố đang được tổ chức xây dựng như: Nghị quyết quy định chính sách đầu tư phát triển kết cấu hạ tầng giao thông; Nghị quyết quy định chính sách quản lý, khai thác đường bộ, đường sắt địa phương, nhà ga bảo đảm trật tự, an toàn giao thông, văn minh đô thị trên địa bàn Thành phố; …mà không thuộc phạm vi điều chỉnh của Nghị quyết này.</w:t>
            </w:r>
          </w:p>
        </w:tc>
      </w:tr>
      <w:tr w:rsidR="002A7165" w:rsidRPr="002A7165" w14:paraId="0E7C9DC3" w14:textId="77777777" w:rsidTr="002A7165">
        <w:tc>
          <w:tcPr>
            <w:tcW w:w="185" w:type="pct"/>
            <w:hideMark/>
          </w:tcPr>
          <w:p w14:paraId="4EC8144C"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2</w:t>
            </w:r>
          </w:p>
        </w:tc>
        <w:tc>
          <w:tcPr>
            <w:tcW w:w="562" w:type="pct"/>
            <w:hideMark/>
          </w:tcPr>
          <w:p w14:paraId="6CBF76B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Đối tượng áp dụng</w:t>
            </w:r>
          </w:p>
        </w:tc>
        <w:tc>
          <w:tcPr>
            <w:tcW w:w="2259" w:type="pct"/>
            <w:hideMark/>
          </w:tcPr>
          <w:p w14:paraId="083ADCF2"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2. Đối tượng áp dụng</w:t>
            </w:r>
            <w:r w:rsidRPr="002A7165">
              <w:rPr>
                <w:rFonts w:ascii="Times New Roman" w:hAnsi="Times New Roman" w:cs="Times New Roman"/>
                <w:sz w:val="26"/>
                <w:szCs w:val="26"/>
              </w:rPr>
              <w:t xml:space="preserve"> </w:t>
            </w:r>
          </w:p>
          <w:p w14:paraId="553AF0E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1. Tổ chức, cá nhân tham gia sử dụng phương tiện giao thông đường bộ; tổ chức, cá nhân thực hiện chuyển đổi phương tiện giao thông đường bộ từ sử dụng nhiên liệu hóa thạch sang sử dụng năng lượng sạch; tổ chức, cá nhân tham gia đầu tư, quản lý, khai thác kết cấu hạ tầng giao thông đường bộ, hạ tầng giao thông sử dụng năng lượng sạch trên địa bàn thành phố Hà Nội. </w:t>
            </w:r>
          </w:p>
          <w:p w14:paraId="5137ADB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2. Tổ chức, cá nhân tham gia đầu tư, quản lý, vận hành các công trình hạ tầng phục vụ giao thông phi cơ giới; tổ </w:t>
            </w:r>
            <w:r w:rsidRPr="002A7165">
              <w:rPr>
                <w:rFonts w:ascii="Times New Roman" w:hAnsi="Times New Roman" w:cs="Times New Roman"/>
                <w:sz w:val="26"/>
                <w:szCs w:val="26"/>
              </w:rPr>
              <w:lastRenderedPageBreak/>
              <w:t xml:space="preserve">chức, cá nhân sử dụng các phương thức giao thông phi cơ giới theo quy định của Nghị quyết này. </w:t>
            </w:r>
          </w:p>
          <w:p w14:paraId="60105EB5"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3. Các cơ quan nhà nước, tổ chức, đơn vị có liên quan đến việc tổ chức triển khai thực hiện các chính sách hỗ trợ phát triển hạ tầng giao thông sử dụng năng lượng sạch, phát triển giao thông phi cơ giới, hỗ trợ chuyển đổi phương tiện và áp dụng một số biện pháp hạn chế phương tiện giao thông phát thải gây ô nhiễm môi trường trên địa bàn thành phố Hà Nội.</w:t>
            </w:r>
          </w:p>
        </w:tc>
        <w:tc>
          <w:tcPr>
            <w:tcW w:w="1994" w:type="pct"/>
            <w:hideMark/>
          </w:tcPr>
          <w:p w14:paraId="6F0E310C"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Quy định đối tượng áp dụng là các tổ chức và cá nhân có quyền lợi, nghĩa vụ, trách nhiệm liên quan đến hoạt động thực hiện chuyển đổi phương tiện giao thông từ sử dụng nhiên liệu hóa thạch sang sử dụng năng lượng sạch.</w:t>
            </w:r>
          </w:p>
        </w:tc>
      </w:tr>
      <w:tr w:rsidR="002A7165" w:rsidRPr="002A7165" w14:paraId="01C4706A" w14:textId="77777777" w:rsidTr="002A7165">
        <w:tc>
          <w:tcPr>
            <w:tcW w:w="185" w:type="pct"/>
            <w:hideMark/>
          </w:tcPr>
          <w:p w14:paraId="5DBCF3D1"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3</w:t>
            </w:r>
          </w:p>
        </w:tc>
        <w:tc>
          <w:tcPr>
            <w:tcW w:w="562" w:type="pct"/>
            <w:hideMark/>
          </w:tcPr>
          <w:p w14:paraId="34E278AF"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Giải thích từ ngữ</w:t>
            </w:r>
          </w:p>
        </w:tc>
        <w:tc>
          <w:tcPr>
            <w:tcW w:w="2259" w:type="pct"/>
            <w:hideMark/>
          </w:tcPr>
          <w:p w14:paraId="6F3CB0A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3. Giải thích từ ngữ</w:t>
            </w:r>
            <w:r w:rsidRPr="002A7165">
              <w:rPr>
                <w:rFonts w:ascii="Times New Roman" w:hAnsi="Times New Roman" w:cs="Times New Roman"/>
                <w:sz w:val="26"/>
                <w:szCs w:val="26"/>
              </w:rPr>
              <w:t xml:space="preserve"> </w:t>
            </w:r>
          </w:p>
          <w:p w14:paraId="06520A21"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Trong Nghị quyết này, các thuật ngữ dưới đây được hiểu như sau: </w:t>
            </w:r>
          </w:p>
          <w:p w14:paraId="39757A94"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1. Xe mô tô, xe gắn máy được quy định tại điểm e, điểm g khoản 1 Điều 34 Luật Trật tự, an toàn giao thông đường bộ số 36/2024/QH15 ngày 27/6/2024 của Quốc hội.</w:t>
            </w:r>
          </w:p>
          <w:p w14:paraId="6AEC54BB"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2. Xe cơ giới sử dụng năng lượng sạch, năng lượng xanh, thân thiện môi trường là xe cơ giới không phát thải trực tiếp các-bon khi vận hành; được quy định tại khoản 3 Điều 9 Thông tư số 53/2024/TT-BGTVT ngày 15 tháng 11 năm 2024 của Bộ Giao thông vận tải (sau đây gọi là phương tiện giao thông xanh). </w:t>
            </w:r>
          </w:p>
          <w:p w14:paraId="3C0ECA11" w14:textId="077B8964" w:rsidR="002A7165" w:rsidRPr="002A7165"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3. Xe cơ giới thân thiện môi trường là xe cơ giới sử dụng năng lượng hoặc công nghệ giúp giảm phát thải các-bon trực tiếp khi vận hành so với xe cơ giới chỉ có động cơ sử dụng nhiên liệu xăng hoặc điêzen (như xe sử dụng nhiên liệu CNG, xe hybrid điện nhẹ MHEV, xe hybrid điện hoàn toàn FHEV hoặc SHEV, xe hybrid nạp điện </w:t>
            </w:r>
            <w:r w:rsidRPr="00392AA3">
              <w:rPr>
                <w:rFonts w:ascii="Times New Roman" w:hAnsi="Times New Roman" w:cs="Times New Roman"/>
                <w:sz w:val="26"/>
                <w:szCs w:val="26"/>
              </w:rPr>
              <w:lastRenderedPageBreak/>
              <w:t>ngoài PHEV), được quy định tại khoản 2 Điều 9 Thông tư số 53/2024/TT-BGTVT ngày 15 tháng 11 năm 2024 của Bộ Giao thông vận tải.</w:t>
            </w:r>
          </w:p>
        </w:tc>
        <w:tc>
          <w:tcPr>
            <w:tcW w:w="1994" w:type="pct"/>
            <w:hideMark/>
          </w:tcPr>
          <w:p w14:paraId="1E6AC997"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Quy định, phân loại chi tiết các loại hình cơ giới theo năng lượng sử dụng, được nêu tại Điều 9 Thông tư số 53/2024/TT-BGTVT ngày 15/11/2024 của Bộ Giao thông vận tải về phân loại phương tiện giao thông đường bộ và dấu hiệu nhận biết xe cơ giới sử dụng năng lượng sạch, năng lượng xanh, thân thiện môi trường; nêu rõ nội hàm của từng loại hình, từ đó là cơ sở để xây dựng các cơ chế chính sách hỗ trợ cũng như biện pháp hạn chế cụ thể.</w:t>
            </w:r>
          </w:p>
        </w:tc>
      </w:tr>
      <w:tr w:rsidR="002A7165" w:rsidRPr="002A7165" w14:paraId="57FC9050" w14:textId="77777777" w:rsidTr="002A7165">
        <w:tc>
          <w:tcPr>
            <w:tcW w:w="185" w:type="pct"/>
            <w:hideMark/>
          </w:tcPr>
          <w:p w14:paraId="68193BB7"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2B14D7F1"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59ACF7B7"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4. Chuyển đổi phương tiện giao thông xanh là quá trình thay thế xe cơ giới chỉ có động cơ sử dụng nhiên liệu hóa thạch (xăng hoặc điêzen) sang phương tiện giao thông xanh mới theo tiêu chuẩn quy định.</w:t>
            </w:r>
          </w:p>
        </w:tc>
        <w:tc>
          <w:tcPr>
            <w:tcW w:w="1994" w:type="pct"/>
            <w:hideMark/>
          </w:tcPr>
          <w:p w14:paraId="5BA8060A"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Việc quy định “chuyển đổi phương tiện giao thông xanh” là thay thế xe cơ giới sử dụng nhiên liệu hóa thạch (xăng hoặc điêzen) bằng phương tiện giao thông xanh mới 100% nhằm bảo đảm hiệu quả giảm phát thải và tránh rủi ro phát sinh từ xe xanh đã qua sử dụng. Phương tiện cũ thường có tuổi thọ pin giảm, hiệu suất thấp, tiềm ẩn nguy cơ mất an toàn (cháy nổ, sụt pin), không đáp ứng mục tiêu chuyển đổi xanh thực chất. Việc không cho phép sử dụng phương tiện giao thông xanh đã qua sử dụng cũng giúp ngăn ngừa tình trạng đưa xe kém chất lượng vào khai thác, tránh tạo “chợ xe điện cũ” ảnh hưởng đến chất lượng đội xe của Thành phố. Đồng thời, quy định sử dụng phương tiện mới bảo đảm minh bạch khi thực hiện chính sách hỗ trợ, dễ kiểm soát về nguồn gốc – chất lượng, phù hợp với chủ trương trẻ hóa đội xe, thúc đẩy sản xuất trong nước và theo đúng thông lệ các chương trình chuyển đổi xanh trên thế giới.</w:t>
            </w:r>
          </w:p>
        </w:tc>
      </w:tr>
      <w:tr w:rsidR="002A7165" w:rsidRPr="002A7165" w14:paraId="720312FB" w14:textId="77777777" w:rsidTr="002A7165">
        <w:tc>
          <w:tcPr>
            <w:tcW w:w="185" w:type="pct"/>
            <w:hideMark/>
          </w:tcPr>
          <w:p w14:paraId="0F392F5F"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1FDB0EFA"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31DA60E4" w14:textId="0BD8BF1E" w:rsidR="002A7165" w:rsidRPr="002A7165" w:rsidRDefault="00392AA3" w:rsidP="006A017E">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5. Giao thông phi cơ giới là các phương tiện và hình thức di chuyển không sử dụng động cơ, dựa vào sức người (đi bộ, xe đạp).</w:t>
            </w:r>
          </w:p>
        </w:tc>
        <w:tc>
          <w:tcPr>
            <w:tcW w:w="1994" w:type="pct"/>
            <w:hideMark/>
          </w:tcPr>
          <w:p w14:paraId="21C3DD07" w14:textId="77777777" w:rsidR="002A7165" w:rsidRPr="002A7165" w:rsidRDefault="002A7165" w:rsidP="006A017E">
            <w:pPr>
              <w:spacing w:line="278" w:lineRule="auto"/>
              <w:ind w:left="57" w:right="57"/>
              <w:jc w:val="both"/>
              <w:rPr>
                <w:rFonts w:ascii="Times New Roman" w:hAnsi="Times New Roman" w:cs="Times New Roman"/>
                <w:sz w:val="26"/>
                <w:szCs w:val="26"/>
              </w:rPr>
            </w:pPr>
          </w:p>
        </w:tc>
      </w:tr>
      <w:tr w:rsidR="002A7165" w:rsidRPr="002A7165" w14:paraId="19E47749" w14:textId="77777777" w:rsidTr="002A7165">
        <w:tc>
          <w:tcPr>
            <w:tcW w:w="185" w:type="pct"/>
            <w:hideMark/>
          </w:tcPr>
          <w:p w14:paraId="7AFC2549"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362F5655"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510FDB9C"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6. Kết cấu hạ tầng đường bộ bao gồm: công trình đường bộ; bến xe; bãi đỗ xe; trạm dừng nghỉ; điểm dừng xe, đỗ </w:t>
            </w:r>
            <w:r w:rsidRPr="002A7165">
              <w:rPr>
                <w:rFonts w:ascii="Times New Roman" w:hAnsi="Times New Roman" w:cs="Times New Roman"/>
                <w:sz w:val="26"/>
                <w:szCs w:val="26"/>
              </w:rPr>
              <w:lastRenderedPageBreak/>
              <w:t>xe; đất của đường bộ; hành lang an toàn đường bộ và các công trình phụ trợ phục vụ cho hoạt động đường bộ; được quy định tại khoản 4 Điều 2 Luật Đường bộ số 35/2024/QH15 ngày 27/6/2024 của Quốc hội.</w:t>
            </w:r>
          </w:p>
        </w:tc>
        <w:tc>
          <w:tcPr>
            <w:tcW w:w="1994" w:type="pct"/>
            <w:hideMark/>
          </w:tcPr>
          <w:p w14:paraId="6868DC9E"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xml:space="preserve">- Việc trích dẫn và sử dụng lại định nghĩa “kết cấu hạ tầng đường bộ” theo khoản 4 Điều 2 Luật </w:t>
            </w:r>
            <w:r w:rsidRPr="002A7165">
              <w:rPr>
                <w:rFonts w:ascii="Times New Roman" w:hAnsi="Times New Roman" w:cs="Times New Roman"/>
                <w:sz w:val="26"/>
                <w:szCs w:val="26"/>
              </w:rPr>
              <w:lastRenderedPageBreak/>
              <w:t xml:space="preserve">Đường bộ số 35/2024/QH15 nhằm bảo đảm </w:t>
            </w:r>
            <w:r w:rsidRPr="002A7165">
              <w:rPr>
                <w:rFonts w:ascii="Times New Roman" w:hAnsi="Times New Roman" w:cs="Times New Roman"/>
                <w:b/>
                <w:bCs/>
                <w:sz w:val="26"/>
                <w:szCs w:val="26"/>
              </w:rPr>
              <w:t>thống nhất cách hiểu và áp dụng</w:t>
            </w:r>
            <w:r w:rsidRPr="002A7165">
              <w:rPr>
                <w:rFonts w:ascii="Times New Roman" w:hAnsi="Times New Roman" w:cs="Times New Roman"/>
                <w:sz w:val="26"/>
                <w:szCs w:val="26"/>
              </w:rPr>
              <w:t xml:space="preserve"> trong toàn bộ nội dung dự thảo nghị quyết. Đây là khái niệm có phạm vi rộng, bao gồm công trình đường bộ, bến xe, bãi đỗ xe, trạm dừng nghỉ, điểm dừng – đỗ xe, đất của đường bộ, hành lang an toàn đường bộ và các công trình phụ trợ. - Việc dẫn chiếu trực tiếp giúp bảo đảm dự thảo nghị quyết tuân thủ đúng quy định pháp luật hiện hành, tránh phát sinh cách hiểu không thống nhất giữa các cơ quan trong quá trình triển khai; đồng thời tạo cơ sở pháp lý rõ ràng, thống nhất cho việc xây dựng chính sách hỗ trợ đầu tư hạ tầng giao thông đường bộ trên địa bàn Thành phố.</w:t>
            </w:r>
          </w:p>
        </w:tc>
      </w:tr>
      <w:tr w:rsidR="002A7165" w:rsidRPr="002A7165" w14:paraId="1EC9F751" w14:textId="77777777" w:rsidTr="002A7165">
        <w:tc>
          <w:tcPr>
            <w:tcW w:w="185" w:type="pct"/>
            <w:hideMark/>
          </w:tcPr>
          <w:p w14:paraId="6CC0F5D9"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41A466DD"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5B0B0ED1" w14:textId="737089EE" w:rsidR="002A7165" w:rsidRPr="002A7165" w:rsidRDefault="00392AA3" w:rsidP="006A017E">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7. Hạ tầng công cộng phục vụ phương tiện giao thông xanh bao gồm: hệ thống trạm tiếp năng lượng sạch (trạm sạc điện, trạm cấp đổi pin sạc, trạm nạp hydrogen và các dạng nhiên liệu sạch khác) tương thích với phương tiện của nhiều hãng sản xuất khác nhau đáp ứng các tiêu chuẩn, quy chuẩn kỹ thuật hiện hành; hạ tầng cấp điện, hydrogen, các dạng nhiên liệu sạch khác phục vụ phương tiện giao thông xanh và các công trình phụ trợ khác phục vụ quá trình vận hành phương tiện giao thông xanh theo quy định của pháp luật.</w:t>
            </w:r>
          </w:p>
        </w:tc>
        <w:tc>
          <w:tcPr>
            <w:tcW w:w="1994" w:type="pct"/>
            <w:hideMark/>
          </w:tcPr>
          <w:p w14:paraId="52443C4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 Việc quy định “hạ tầng công cộng phục vụ phương tiện giao thông xanh” theo hướng bao quát toàn bộ các loại hình trạm tiếp năng lượng sạch (trạm sạc điện, trạm đổi pin, trạm nạp hydrogen và các dạng nhiên liệu sạch khác) nhằm </w:t>
            </w:r>
            <w:r w:rsidRPr="002A7165">
              <w:rPr>
                <w:rFonts w:ascii="Times New Roman" w:hAnsi="Times New Roman" w:cs="Times New Roman"/>
                <w:b/>
                <w:bCs/>
                <w:sz w:val="26"/>
                <w:szCs w:val="26"/>
              </w:rPr>
              <w:t>đơn giản hóa cách gọi</w:t>
            </w:r>
            <w:r w:rsidRPr="002A7165">
              <w:rPr>
                <w:rFonts w:ascii="Times New Roman" w:hAnsi="Times New Roman" w:cs="Times New Roman"/>
                <w:sz w:val="26"/>
                <w:szCs w:val="26"/>
              </w:rPr>
              <w:t xml:space="preserve">, thống nhất thuật ngữ và tránh lặp lại nhiều lần trong dự thảo nghị quyết. Thực tế hiện nay, một số doanh nghiệp đầu tư trạm sạc theo mô hình sở hữu riêng, không cho phép chia sẻ với phương tiện của hãng khác. Tuy nhiên, đối với </w:t>
            </w:r>
            <w:r w:rsidRPr="002A7165">
              <w:rPr>
                <w:rFonts w:ascii="Times New Roman" w:hAnsi="Times New Roman" w:cs="Times New Roman"/>
                <w:b/>
                <w:bCs/>
                <w:sz w:val="26"/>
                <w:szCs w:val="26"/>
              </w:rPr>
              <w:t>hạ tầng công cộng</w:t>
            </w:r>
            <w:r w:rsidRPr="002A7165">
              <w:rPr>
                <w:rFonts w:ascii="Times New Roman" w:hAnsi="Times New Roman" w:cs="Times New Roman"/>
                <w:sz w:val="26"/>
                <w:szCs w:val="26"/>
              </w:rPr>
              <w:t xml:space="preserve">, được đầu tư trên đất công hoặc thuộc sở hữu Nhà nước, yêu cầu đặt ra là phải </w:t>
            </w:r>
            <w:r w:rsidRPr="002A7165">
              <w:rPr>
                <w:rFonts w:ascii="Times New Roman" w:hAnsi="Times New Roman" w:cs="Times New Roman"/>
                <w:b/>
                <w:bCs/>
                <w:sz w:val="26"/>
                <w:szCs w:val="26"/>
              </w:rPr>
              <w:t xml:space="preserve">tương thích và phục vụ phương tiện của </w:t>
            </w:r>
            <w:r w:rsidRPr="002A7165">
              <w:rPr>
                <w:rFonts w:ascii="Times New Roman" w:hAnsi="Times New Roman" w:cs="Times New Roman"/>
                <w:b/>
                <w:bCs/>
                <w:sz w:val="26"/>
                <w:szCs w:val="26"/>
              </w:rPr>
              <w:lastRenderedPageBreak/>
              <w:t>nhiều hãng sản xuất khác nhau</w:t>
            </w:r>
            <w:r w:rsidRPr="002A7165">
              <w:rPr>
                <w:rFonts w:ascii="Times New Roman" w:hAnsi="Times New Roman" w:cs="Times New Roman"/>
                <w:sz w:val="26"/>
                <w:szCs w:val="26"/>
              </w:rPr>
              <w:t>, đáp ứng tiêu chuẩn, quy chuẩn kỹ thuật hiện hành, bảo đảm tính công bằng, minh bạch và hiệu quả sử dụng tài sản công.</w:t>
            </w:r>
          </w:p>
        </w:tc>
      </w:tr>
      <w:tr w:rsidR="002A7165" w:rsidRPr="002A7165" w14:paraId="6BD5E91C" w14:textId="77777777" w:rsidTr="002A7165">
        <w:tc>
          <w:tcPr>
            <w:tcW w:w="185" w:type="pct"/>
            <w:hideMark/>
          </w:tcPr>
          <w:p w14:paraId="4521B1BF"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38ACC5A1"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572671C7" w14:textId="274A3426" w:rsidR="002A7165" w:rsidRPr="002A7165" w:rsidRDefault="00392AA3" w:rsidP="006A017E">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8. Hộ nghèo, hộ cận nghèo là hộ gia đình được xác định theo chuẩn nghèo đa chiều quốc gia giai đoạn 2026 - 2030 quy định tại Nghị định số 351/2025/NĐ-CP ngày 30 tháng 12 năm 2025 của Chính phủ và được rà soát hằng năm theo quy trình quy định tại Quyết định số 24/2021/QĐ-TTg ngày 16 tháng 7 năm 2021 của Thủ tướng Chính phủ, trên cơ sở đó được cơ quan có thẩm quyền phê duyệt theo quy định của pháp luật.</w:t>
            </w:r>
          </w:p>
        </w:tc>
        <w:tc>
          <w:tcPr>
            <w:tcW w:w="1994" w:type="pct"/>
            <w:hideMark/>
          </w:tcPr>
          <w:p w14:paraId="78E7B349"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 Đây là cơ sở pháp lý quan trọng giúp các cơ quan triển khai chính sách hỗ trợ một cách </w:t>
            </w:r>
            <w:r w:rsidRPr="002A7165">
              <w:rPr>
                <w:rFonts w:ascii="Times New Roman" w:hAnsi="Times New Roman" w:cs="Times New Roman"/>
                <w:b/>
                <w:bCs/>
                <w:sz w:val="26"/>
                <w:szCs w:val="26"/>
              </w:rPr>
              <w:t>chính xác, minh bạch</w:t>
            </w:r>
            <w:r w:rsidRPr="002A7165">
              <w:rPr>
                <w:rFonts w:ascii="Times New Roman" w:hAnsi="Times New Roman" w:cs="Times New Roman"/>
                <w:sz w:val="26"/>
                <w:szCs w:val="26"/>
              </w:rPr>
              <w:t>, tránh trùng lặp, bỏ sót hoặc hỗ trợ sai đối tượng, đồng thời bảo đảm nguồn lực ngân sách được sử dụng đúng mục tiêu.</w:t>
            </w:r>
          </w:p>
        </w:tc>
      </w:tr>
      <w:tr w:rsidR="002A7165" w:rsidRPr="002A7165" w14:paraId="0A8380CD" w14:textId="77777777" w:rsidTr="002A7165">
        <w:tc>
          <w:tcPr>
            <w:tcW w:w="185" w:type="pct"/>
            <w:hideMark/>
          </w:tcPr>
          <w:p w14:paraId="085CBF1A"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562" w:type="pct"/>
            <w:hideMark/>
          </w:tcPr>
          <w:p w14:paraId="691BF985" w14:textId="77777777" w:rsidR="002A7165" w:rsidRPr="002A7165" w:rsidRDefault="002A7165" w:rsidP="006A017E">
            <w:pPr>
              <w:spacing w:line="278" w:lineRule="auto"/>
              <w:ind w:left="57" w:right="57"/>
              <w:jc w:val="both"/>
              <w:rPr>
                <w:rFonts w:ascii="Times New Roman" w:hAnsi="Times New Roman" w:cs="Times New Roman"/>
                <w:sz w:val="26"/>
                <w:szCs w:val="26"/>
              </w:rPr>
            </w:pPr>
          </w:p>
        </w:tc>
        <w:tc>
          <w:tcPr>
            <w:tcW w:w="2259" w:type="pct"/>
            <w:hideMark/>
          </w:tcPr>
          <w:p w14:paraId="7140628B" w14:textId="74CE1242" w:rsidR="002A7165" w:rsidRPr="002A7165" w:rsidRDefault="00392AA3" w:rsidP="006A017E">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9. Phương tiện cho thuê phục vụ mục đích giao thông công cộng đô thị gồm xe đạp, xe đạp điện, xe mô tô, xe gắn máy sử dụng để kinh doanh dịch vụ cho thuê tự lái có địa điểm thuê và trả xe tại vị trí công cộng (được đăng ký với cơ quan quản lý nhà nước) trong khu vực đô thị.</w:t>
            </w:r>
          </w:p>
        </w:tc>
        <w:tc>
          <w:tcPr>
            <w:tcW w:w="1994" w:type="pct"/>
            <w:hideMark/>
          </w:tcPr>
          <w:p w14:paraId="4E1158A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 Việc đưa ra định nghĩa “phương tiện cho thuê phục vụ mục đích giao thông công cộng đô thị” là cần thiết do hiện nay </w:t>
            </w:r>
            <w:r w:rsidRPr="002A7165">
              <w:rPr>
                <w:rFonts w:ascii="Times New Roman" w:hAnsi="Times New Roman" w:cs="Times New Roman"/>
                <w:b/>
                <w:bCs/>
                <w:sz w:val="26"/>
                <w:szCs w:val="26"/>
              </w:rPr>
              <w:t>pháp luật chưa có quy định cụ thể</w:t>
            </w:r>
            <w:r w:rsidRPr="002A7165">
              <w:rPr>
                <w:rFonts w:ascii="Times New Roman" w:hAnsi="Times New Roman" w:cs="Times New Roman"/>
                <w:sz w:val="26"/>
                <w:szCs w:val="26"/>
              </w:rPr>
              <w:t xml:space="preserve"> cho loại hình này. Khái niệm giúp phân biệt rõ với các dịch vụ cho thuê tự phát, không đăng ký, không chịu sự quản lý của cơ quan chức năng. Quy định chỉ áp dụng đối với mô hình có </w:t>
            </w:r>
            <w:r w:rsidRPr="002A7165">
              <w:rPr>
                <w:rFonts w:ascii="Times New Roman" w:hAnsi="Times New Roman" w:cs="Times New Roman"/>
                <w:b/>
                <w:bCs/>
                <w:sz w:val="26"/>
                <w:szCs w:val="26"/>
              </w:rPr>
              <w:t>điểm thuê – trả tại không gian công cộng và được đăng ký</w:t>
            </w:r>
            <w:r w:rsidRPr="002A7165">
              <w:rPr>
                <w:rFonts w:ascii="Times New Roman" w:hAnsi="Times New Roman" w:cs="Times New Roman"/>
                <w:sz w:val="26"/>
                <w:szCs w:val="26"/>
              </w:rPr>
              <w:t>, nhằm bảo đảm quản lý nhà nước, an toàn vận hành và tích hợp vào hệ thống giao thông công cộng đô thị.</w:t>
            </w:r>
          </w:p>
        </w:tc>
      </w:tr>
      <w:tr w:rsidR="002A7165" w:rsidRPr="002A7165" w14:paraId="3FBCFEA5" w14:textId="77777777" w:rsidTr="002A7165">
        <w:tc>
          <w:tcPr>
            <w:tcW w:w="185" w:type="pct"/>
            <w:hideMark/>
          </w:tcPr>
          <w:p w14:paraId="386CA61E"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4</w:t>
            </w:r>
          </w:p>
        </w:tc>
        <w:tc>
          <w:tcPr>
            <w:tcW w:w="562" w:type="pct"/>
            <w:hideMark/>
          </w:tcPr>
          <w:p w14:paraId="3B2DA62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Chính sách hỗ trợ tài chính</w:t>
            </w:r>
          </w:p>
        </w:tc>
        <w:tc>
          <w:tcPr>
            <w:tcW w:w="2259" w:type="pct"/>
            <w:hideMark/>
          </w:tcPr>
          <w:p w14:paraId="614B735D"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4. Chính sách hỗ trợ tài chính</w:t>
            </w:r>
            <w:r w:rsidRPr="002A7165">
              <w:rPr>
                <w:rFonts w:ascii="Times New Roman" w:hAnsi="Times New Roman" w:cs="Times New Roman"/>
                <w:sz w:val="26"/>
                <w:szCs w:val="26"/>
              </w:rPr>
              <w:t xml:space="preserve"> </w:t>
            </w:r>
          </w:p>
          <w:p w14:paraId="17E3E212"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1. Đối với cá nhân </w:t>
            </w:r>
          </w:p>
          <w:p w14:paraId="1C64869C"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a) Đối tượng hỗ trợ: Cá nhân có nơi thường trú hoặc đã tạm trú liên tục từ 02 năm trở lên trên địa bàn thành phố </w:t>
            </w:r>
            <w:r w:rsidRPr="00392AA3">
              <w:rPr>
                <w:rFonts w:ascii="Times New Roman" w:hAnsi="Times New Roman" w:cs="Times New Roman"/>
                <w:sz w:val="26"/>
                <w:szCs w:val="26"/>
              </w:rPr>
              <w:lastRenderedPageBreak/>
              <w:t xml:space="preserve">Hà Nội tính đến thời điểm ban hành Nghị quyết này và là chủ sở hữu xe mô tô, xe gắn máy sử dụng nhiên liệu hóa thạch đã đăng ký trước thời điểm ban hành Nghị quyết này, khi thực hiện chuyển đổi sang xe mô tô, xe gắn máy sử dụng năng lượng sạch, năng lượng xanh, thân thiện môi trường (có giá trị từ 10 triệu đồng trở lên). </w:t>
            </w:r>
          </w:p>
          <w:p w14:paraId="578CDFBE"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b) Nguyên tắc hỗ trợ: Mỗi cá nhân được hỗ trợ cho 01 xe, có thể lựa chọn một trong hai phương thức hỗ trợ quy định tại điểm c và điểm d khoản này. </w:t>
            </w:r>
          </w:p>
          <w:p w14:paraId="52706A64"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c) Hỗ trợ trực tiếp bằng tiền: Ngân sách Thành phố hỗ trợ 20% giá trị phương tiện chuyển đổi nhưng không quá 05 triệu đồng. Riêng đối với cá nhân thuộc hộ nghèo hỗ trợ 100% giá trị phương tiện chuyển đổi nhưng không quá 20 triệu đồng; cá nhân thuộc hộ cận nghèo hỗ trợ 80% giá trị phương tiện chuyển đổi nhưng không quá 15 triệu đồng. </w:t>
            </w:r>
          </w:p>
          <w:p w14:paraId="6E4CDF77" w14:textId="3DAE6D86" w:rsidR="002A7165" w:rsidRPr="002A7165"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d) Hỗ trợ bằng vé sử dụng dịch vụ vận tải hành khách công cộng: Đối tượng đủ điều kiện được hỗ trợ quy định tại điểm a khoản này, nếu không nhận hỗ trợ trực tiếp bằng tiền thì có thể lựa chọn phương án nhận hỗ trợ bằng vé sử dụng dịch vụ vận tải hành khách công cộng có trị giá 05 triệu đồng.</w:t>
            </w:r>
          </w:p>
        </w:tc>
        <w:tc>
          <w:tcPr>
            <w:tcW w:w="1994" w:type="pct"/>
            <w:hideMark/>
          </w:tcPr>
          <w:p w14:paraId="1625C687"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xml:space="preserve">1. Về đối tượng và điều kiện </w:t>
            </w:r>
          </w:p>
          <w:p w14:paraId="423DEAE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 Điều kiện cư trú: Hỗ trợ nhóm thường trú/tạm trú từ đủ 02 năm trở lên phù hợp với thực tiễn, ưu tiên nhóm dân cư sinh sống ổn định. Việc chốt </w:t>
            </w:r>
            <w:r w:rsidRPr="002A7165">
              <w:rPr>
                <w:rFonts w:ascii="Times New Roman" w:hAnsi="Times New Roman" w:cs="Times New Roman"/>
                <w:sz w:val="26"/>
                <w:szCs w:val="26"/>
              </w:rPr>
              <w:lastRenderedPageBreak/>
              <w:t>điều kiện sở hữu xe và cư trú “tính đến thời điểm ban hành Nghị quyết” là bắt buộc nhằm minh bạch hóa đối tượng, ngăn chặn trục lợi (ồ ạt đăng ký tạm trú, mua bán xe cũ nát để lấy tiền hỗ trợ).</w:t>
            </w:r>
          </w:p>
          <w:p w14:paraId="5C69932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Điều kiện xe mới: Quy định giá trị xe mới từ 10 triệu đồng trở lên phù hợp mặt bằng thị trường (xe máy điện phổ biến từ 12-40 triệu), loại trừ các dòng xe giá rẻ kém chất lượng, không bảo đảm an toàn.</w:t>
            </w:r>
          </w:p>
          <w:p w14:paraId="593F4D4E"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xml:space="preserve">2. Về nguyên tắc hỗ trợ </w:t>
            </w:r>
          </w:p>
          <w:p w14:paraId="6C85992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Giới hạn “01 xe/người” giúp quản lý thực chất, tránh một người đứng tên nhiều xe.</w:t>
            </w:r>
          </w:p>
          <w:p w14:paraId="5C50612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Rút ngắn thời hạn đến trước 01/01/2030 nhằm thúc đẩy người dân chuyển đổi sớm, đồng bộ với lộ trình giảm phát thải và hạn chế xe máy của Thành phố.</w:t>
            </w:r>
          </w:p>
          <w:p w14:paraId="12AAF64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Việc cho phép tự chọn 1 trong 2 hình thức hỗ trợ thể hiện tính linh hoạt, đáp ứng đa dạng nhu cầu thực tế.</w:t>
            </w:r>
          </w:p>
          <w:p w14:paraId="43B59EC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3. Về mức hỗ trợ trực tiếp bằng tiền</w:t>
            </w:r>
          </w:p>
          <w:p w14:paraId="7BEBFBD9" w14:textId="77777777" w:rsidR="006F6D2B" w:rsidRDefault="006F6D2B" w:rsidP="006A017E">
            <w:pPr>
              <w:spacing w:line="278" w:lineRule="auto"/>
              <w:ind w:left="57" w:right="57"/>
              <w:jc w:val="both"/>
              <w:rPr>
                <w:rFonts w:ascii="Times New Roman" w:hAnsi="Times New Roman" w:cs="Times New Roman"/>
                <w:sz w:val="26"/>
                <w:szCs w:val="26"/>
              </w:rPr>
            </w:pPr>
            <w:r w:rsidRPr="006F6D2B">
              <w:rPr>
                <w:rFonts w:ascii="Times New Roman" w:hAnsi="Times New Roman" w:cs="Times New Roman"/>
                <w:sz w:val="26"/>
                <w:szCs w:val="26"/>
              </w:rPr>
              <w:t xml:space="preserve">- Mức hỗ trợ trực tiếp 20% giá trị phương tiện chuyển đổi nhưng không quá 5 triệu đồng/xe trên cơ sở tham khảo kinh nghiệm của một số quốc gia, thành phố như: Đài Loan (8-26 triệu), Indonesia (12 triệu), Thái Lan (4-8 triệu), Thành phố Hồ Chí Minh (5-20 triệu), Trung Quốc (1-3 triệu). Nghị quyết lựa chọn mức hỗ trợ tương đương với mức </w:t>
            </w:r>
            <w:r w:rsidRPr="006F6D2B">
              <w:rPr>
                <w:rFonts w:ascii="Times New Roman" w:hAnsi="Times New Roman" w:cs="Times New Roman"/>
                <w:sz w:val="26"/>
                <w:szCs w:val="26"/>
              </w:rPr>
              <w:lastRenderedPageBreak/>
              <w:t>hỗ trợ của TP Hồ Chí Minh. Bên cạnh đó, mức hỗ trợ 80-100% giá trị phương tiện chuyển đổi đối với cá nhân thuộc hộ nghèo và cận nghèo cũng sẽ là mức hỗ trợ, động viên lớn và thiết thực đối với đối tượng yếu thế và chịu tác động mạnh của chính sách.</w:t>
            </w:r>
          </w:p>
          <w:p w14:paraId="1E05C091" w14:textId="3202E031" w:rsidR="006F6D2B" w:rsidRDefault="006F6D2B" w:rsidP="006A017E">
            <w:pPr>
              <w:spacing w:line="278" w:lineRule="auto"/>
              <w:ind w:left="57" w:right="57"/>
              <w:jc w:val="both"/>
              <w:rPr>
                <w:rFonts w:ascii="Times New Roman" w:hAnsi="Times New Roman" w:cs="Times New Roman"/>
                <w:sz w:val="26"/>
                <w:szCs w:val="26"/>
              </w:rPr>
            </w:pPr>
            <w:r w:rsidRPr="006F6D2B">
              <w:rPr>
                <w:rFonts w:ascii="Times New Roman" w:hAnsi="Times New Roman" w:cs="Times New Roman"/>
                <w:sz w:val="26"/>
                <w:szCs w:val="26"/>
              </w:rPr>
              <w:t>Lựa chọn phương án hỗ trợ không vượt quá 5 triệu đồng với mục tiêu chỉ hỗ trợ một phần tài chính ở mức trung bình so với một số quốc gia, thành phố để không khuyến khích người dân sử dụng phương tiện cá nhân, tiến tới mục tiêu đến năm 2030 Hà Nội không còn xe mô tô, xe gắn máy lưu thông trong Vành đai đai 3 theo Chỉ thị 20 của Thủ tướng Chính phủ.</w:t>
            </w:r>
          </w:p>
          <w:p w14:paraId="74C1EDFB" w14:textId="5AEE94B7" w:rsidR="006F6D2B" w:rsidRDefault="006F6D2B" w:rsidP="006A017E">
            <w:pPr>
              <w:spacing w:line="278" w:lineRule="auto"/>
              <w:ind w:left="57" w:right="57"/>
              <w:jc w:val="both"/>
              <w:rPr>
                <w:rFonts w:ascii="Times New Roman" w:hAnsi="Times New Roman" w:cs="Times New Roman"/>
                <w:sz w:val="26"/>
                <w:szCs w:val="26"/>
              </w:rPr>
            </w:pPr>
            <w:r w:rsidRPr="006F6D2B">
              <w:rPr>
                <w:rFonts w:ascii="Times New Roman" w:hAnsi="Times New Roman" w:cs="Times New Roman"/>
                <w:sz w:val="26"/>
                <w:szCs w:val="26"/>
              </w:rPr>
              <w:t xml:space="preserve">Qua khảo sát giá các dòng xe điện phổ biến trên thị trường thời điểm hiện tại gồm 3 phân khúc (phổ thông: dưới 20 triệu đồng; tầm trung: 20-35 triệu đồng; cao cấp: trên 35 triệu đồng). Trong đó phân khúc phổ thông rẻ nhất khoảng từ 12 triệu đồng (Vinfast Amio khoảng 12,8 triệu đồng, Honda ICON e từ 12,5 triệu đồng). Một số doanh nghiệp lớn cũng đề xuất hỗ trợ cho người dân, doanh nghiệp khi chuyển đổi phương tiện như: Vingroup hỗ trợ miễn 100% lệ phí trước bạ cho xe máy điện VinFast, hỗ trợ 3% lãi suất vay trong 3 năm; EVG Group hỗ trợ giảm 10% giá xe dành cho người dân Thủ đô; V-Green miễn phí sạc toàn </w:t>
            </w:r>
            <w:r w:rsidRPr="006F6D2B">
              <w:rPr>
                <w:rFonts w:ascii="Times New Roman" w:hAnsi="Times New Roman" w:cs="Times New Roman"/>
                <w:sz w:val="26"/>
                <w:szCs w:val="26"/>
              </w:rPr>
              <w:lastRenderedPageBreak/>
              <w:t>hệ thống cho xe máy điện VinFast đến hết 31/5/2027. Như vậy, với các chính sách hỗ trợ của Nhà nước và doanh nghiệp thì với thu nhập bình quân của người dân Thủ đô (khoảng 15 triệu) việc chuyển đổi phương tiện không phải là áp lực lớn đối với người dân.</w:t>
            </w:r>
          </w:p>
          <w:p w14:paraId="27332C44" w14:textId="2729BC6E"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4. Về hình thức hỗ trợ bằng vé phương tiện công cộng</w:t>
            </w:r>
          </w:p>
          <w:p w14:paraId="7136007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t>- Đây là chính sách mang lại lợi ích kép: Đảm bảo công bằng cho người sẵn sàng bỏ xe cũ nhưng không mua xe mới, đồng thời trực tiếp hình thành thói quen sử dụng giao thông công cộng. Phương án này góp phần căn cơ vào mục tiêu giảm triệt để xe cá nhân, giải quyết ùn tắc và ô nhiễm môi trường.</w:t>
            </w:r>
          </w:p>
        </w:tc>
      </w:tr>
      <w:tr w:rsidR="002A7165" w:rsidRPr="002A7165" w14:paraId="04A7A727" w14:textId="77777777" w:rsidTr="002A7165">
        <w:tc>
          <w:tcPr>
            <w:tcW w:w="185" w:type="pct"/>
          </w:tcPr>
          <w:p w14:paraId="5081CDF1"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562" w:type="pct"/>
          </w:tcPr>
          <w:p w14:paraId="1EC673C4"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2259" w:type="pct"/>
          </w:tcPr>
          <w:p w14:paraId="3E53D82E" w14:textId="77777777" w:rsidR="002A7165" w:rsidRPr="00392AA3" w:rsidRDefault="002A7165" w:rsidP="006A017E">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bCs/>
                <w:sz w:val="26"/>
                <w:szCs w:val="26"/>
              </w:rPr>
              <w:t>2. Đối với đơn vị, tổ chức</w:t>
            </w:r>
            <w:r w:rsidRPr="00392AA3">
              <w:rPr>
                <w:rFonts w:ascii="Times New Roman" w:hAnsi="Times New Roman" w:cs="Times New Roman"/>
                <w:sz w:val="26"/>
                <w:szCs w:val="26"/>
              </w:rPr>
              <w:t xml:space="preserve"> </w:t>
            </w:r>
          </w:p>
          <w:p w14:paraId="4ACFB15E"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a) Đối tượng hỗ trợ</w:t>
            </w:r>
          </w:p>
          <w:p w14:paraId="1CD43280"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Đơn vị thực hiện các dịch vụ công ích, kinh doanh vận tải hành khách đường bộ (không bao gồm xe buýt), vận tải hàng hóa đường bộ có trụ sở trên địa bàn thành phố Hà Nội có đăng ký kinh doanh tại thành phố Hà Nội trước thời điểm Nghị quyết này có hiệu lực, khi chuyển đổi phương tiện giao thông xanh (phương tiện mua mới được sử dụng làm tài sản thế chấp), bao gồm: xe cứu thương, xe bưu chính, xe ô tô tải chuyên dùng (quét đường, rửa đường, vận chuyển rác, bảo trì hạ tầng đô thị); xe ô tô kinh doanh vận tải chở trẻ em mầm non, học sinh </w:t>
            </w:r>
            <w:r w:rsidRPr="00392AA3">
              <w:rPr>
                <w:rFonts w:ascii="Times New Roman" w:hAnsi="Times New Roman" w:cs="Times New Roman"/>
                <w:sz w:val="26"/>
                <w:szCs w:val="26"/>
              </w:rPr>
              <w:lastRenderedPageBreak/>
              <w:t xml:space="preserve">(trừ xe ô tô kinh doanh vận tải kết hợp với hoạt động đưa đón trẻ em mầm non, học sinh); xe taxi; xe ô tô kinh doanh vận tải hành khách theo hợp đồng có sức chứa đến 08 chỗ (không kể chỗ của người lái xe) sử dụng hợp đồng điện tử và đơn vị thực hiện dịch vụ cho thuê phương tiện giao thông đường bộ để tự lái có trụ sở trên địa bàn thành phố Hà Nội khi đầu tư mua sắm phương tiện giao thông xanh để phục vụ mục đích công cộng. </w:t>
            </w:r>
          </w:p>
          <w:p w14:paraId="13A219B1"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b) Hỗ trợ lãi vay: Ngân sách Thành phố hỗ trợ 30% tiền lãi vay ngân hàng thương mại với toàn bộ giá trị hợp đồng vay được thực hiện trong thời gian vay vốn (thời gian hỗ trợ tối đa không quá 05 năm) đối với phương tiện thuộc sở hữu của các đơn vị quy định tại điểm a khoản này. </w:t>
            </w:r>
          </w:p>
          <w:p w14:paraId="605427F1" w14:textId="4CC04FD3" w:rsidR="002A7165" w:rsidRPr="002A7165" w:rsidRDefault="00392AA3" w:rsidP="00392AA3">
            <w:pPr>
              <w:spacing w:line="278" w:lineRule="auto"/>
              <w:ind w:left="57" w:right="57"/>
              <w:jc w:val="both"/>
              <w:rPr>
                <w:rFonts w:ascii="Times New Roman" w:hAnsi="Times New Roman" w:cs="Times New Roman"/>
                <w:b/>
                <w:bCs/>
                <w:sz w:val="26"/>
                <w:szCs w:val="26"/>
              </w:rPr>
            </w:pPr>
            <w:r w:rsidRPr="00392AA3">
              <w:rPr>
                <w:rFonts w:ascii="Times New Roman" w:hAnsi="Times New Roman" w:cs="Times New Roman"/>
                <w:sz w:val="26"/>
                <w:szCs w:val="26"/>
              </w:rPr>
              <w:t>c) Hỗ trợ vốn vay ưu đãi: Cho vay từ Quỹ Đầu tư phát triển thành phố Hà Nội và Quỹ Bảo vệ môi trường Hà Nội theo các quy định hiện hành đối với các tổ chức là Chủ đầu tư các dự án đầu tư phương tiện quy định tại điểm a khoản này.</w:t>
            </w:r>
          </w:p>
        </w:tc>
        <w:tc>
          <w:tcPr>
            <w:tcW w:w="1994" w:type="pct"/>
          </w:tcPr>
          <w:p w14:paraId="7EAFFAD7" w14:textId="77777777" w:rsidR="006F6D2B" w:rsidRPr="006F6D2B" w:rsidRDefault="006F6D2B" w:rsidP="006F6D2B">
            <w:pPr>
              <w:spacing w:line="278" w:lineRule="auto"/>
              <w:ind w:left="57" w:right="57"/>
              <w:jc w:val="both"/>
              <w:rPr>
                <w:rFonts w:ascii="Times New Roman" w:hAnsi="Times New Roman" w:cs="Times New Roman"/>
                <w:sz w:val="26"/>
                <w:szCs w:val="26"/>
              </w:rPr>
            </w:pPr>
            <w:r w:rsidRPr="006F6D2B">
              <w:rPr>
                <w:rFonts w:ascii="Times New Roman" w:hAnsi="Times New Roman" w:cs="Times New Roman"/>
                <w:sz w:val="26"/>
                <w:szCs w:val="26"/>
              </w:rPr>
              <w:lastRenderedPageBreak/>
              <w:t>Chính sách hỗ trợ vốn vay ưu đãi, hỗ trợ lãi vay nhằm hỗ trợ cho các đơn vị thực hiện dịch vụ công ích, kinh doanh vận tải hành khách đầu tư, mua sắm phương tiện giao thông xanh để phục vụ mục đích công cộng trên địa bàn thành phố Hà Nội.</w:t>
            </w:r>
          </w:p>
          <w:p w14:paraId="1F1F08F7" w14:textId="40370417" w:rsidR="002A7165" w:rsidRPr="002A7165" w:rsidRDefault="006F6D2B" w:rsidP="006F6D2B">
            <w:pPr>
              <w:spacing w:line="278" w:lineRule="auto"/>
              <w:ind w:left="57" w:right="57"/>
              <w:jc w:val="both"/>
              <w:rPr>
                <w:rFonts w:ascii="Times New Roman" w:hAnsi="Times New Roman" w:cs="Times New Roman"/>
                <w:sz w:val="26"/>
                <w:szCs w:val="26"/>
              </w:rPr>
            </w:pPr>
            <w:r w:rsidRPr="006F6D2B">
              <w:rPr>
                <w:rFonts w:ascii="Times New Roman" w:hAnsi="Times New Roman" w:cs="Times New Roman"/>
                <w:sz w:val="26"/>
                <w:szCs w:val="26"/>
              </w:rPr>
              <w:t xml:space="preserve">Đối với chính sách này việc được hỗ trợ 30% lãi suất vay từ ngân hàng hoặc được vay từ Quỹ đầu tư phát triển Thành phố (hiện tại mức lãi suất vay Quỹ là khoảng 4,98%) sẽ làm giảm áp lực cho các nhà đầu tư, doanh nghiệp vận tải tham gia vào quá trình chuyển đổi năng lượng sạch. Các doanh nghiệp dịch vụ công ích, kinh doanh vận tải được </w:t>
            </w:r>
            <w:r w:rsidRPr="006F6D2B">
              <w:rPr>
                <w:rFonts w:ascii="Times New Roman" w:hAnsi="Times New Roman" w:cs="Times New Roman"/>
                <w:sz w:val="26"/>
                <w:szCs w:val="26"/>
              </w:rPr>
              <w:lastRenderedPageBreak/>
              <w:t>hưởng chính sách sẽ đẩy nhanh quá trình chuyển đổi phương tiện của đơn vị mình. Điều này sẽ tác động trực tiếp, nhanh chóng đến mục tiêu giảm khí thải, bụi mịn. Do đặc điểm của Hà Nội là nhiều ngõ nhỏ, phố nhỏ nên việc phát triển các phương tiện công cộng khác ngoài xe buýt như xe đạp, xe đạp điện, xe máy điện công cộng để kết nối với hệ thống phương tiện VTHKCC là xe buýt và đường sắt đô thị là rất cần thiết. Do đó chính sách hỗ trợ cho các đơn vị đầu tư phương tiện cho thuê phục vụ mục đích giao thông công cộng đô thị sẽ khuyến khích các nhà đầu tư mạnh dạn tham gia với nhiều loại hình phương tiện và số lượng phương tiện.</w:t>
            </w:r>
          </w:p>
        </w:tc>
      </w:tr>
      <w:tr w:rsidR="002A7165" w:rsidRPr="002A7165" w14:paraId="66290B51" w14:textId="77777777" w:rsidTr="002A7165">
        <w:tc>
          <w:tcPr>
            <w:tcW w:w="185" w:type="pct"/>
            <w:hideMark/>
          </w:tcPr>
          <w:p w14:paraId="2EC4383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5</w:t>
            </w:r>
          </w:p>
        </w:tc>
        <w:tc>
          <w:tcPr>
            <w:tcW w:w="562" w:type="pct"/>
            <w:hideMark/>
          </w:tcPr>
          <w:p w14:paraId="38AD86E6"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Chính sách về phí, lệ phí, giá dịch vụ</w:t>
            </w:r>
          </w:p>
        </w:tc>
        <w:tc>
          <w:tcPr>
            <w:tcW w:w="2259" w:type="pct"/>
            <w:hideMark/>
          </w:tcPr>
          <w:p w14:paraId="741CF520"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5. Chính sách về phí, lệ phí, giá dịch vụ</w:t>
            </w:r>
            <w:r w:rsidRPr="002A7165">
              <w:rPr>
                <w:rFonts w:ascii="Times New Roman" w:hAnsi="Times New Roman" w:cs="Times New Roman"/>
                <w:sz w:val="26"/>
                <w:szCs w:val="26"/>
              </w:rPr>
              <w:t xml:space="preserve"> </w:t>
            </w:r>
          </w:p>
          <w:p w14:paraId="56D98164"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1. Đối với cá nhân </w:t>
            </w:r>
          </w:p>
          <w:p w14:paraId="7145AB5F"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a) Miễn tiền vé sử dụng phương tiện vận tải hành khách công cộng khối lượng lớn đối với người có công, người khuyết tật, người cao tuổi, trẻ em dưới 06 tuổi, nhân khẩu thuộc hộ nghèo, học sinh, sinh viên, công nhân các khu công nghiệp trên địa bàn Thành phố. </w:t>
            </w:r>
          </w:p>
          <w:p w14:paraId="18CC57BF"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b) Miễn tiền vé sử dụng phương tiện vận tải hành khách </w:t>
            </w:r>
            <w:r w:rsidRPr="00392AA3">
              <w:rPr>
                <w:rFonts w:ascii="Times New Roman" w:hAnsi="Times New Roman" w:cs="Times New Roman"/>
                <w:sz w:val="26"/>
                <w:szCs w:val="26"/>
              </w:rPr>
              <w:lastRenderedPageBreak/>
              <w:t xml:space="preserve">công cộng khối lượng lớn đối với tất cả hành khách trong các dịp lễ, Tết và các dịp đặc biệt của đất nước, của thành phố Hà Nội. </w:t>
            </w:r>
          </w:p>
          <w:p w14:paraId="3AB014AA" w14:textId="724EF427" w:rsidR="002A7165" w:rsidRPr="002A7165"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c) Hỗ trợ lệ phí cấp giấy chứng nhận đăng ký, biển số đối với xe mô tô, xe gắn máy thuộc sở hữu của các cá nhân quy định tại điểm a khoản 1 Điều 4 Nghị quyết này khi thực hiện chuyển đổi sang sử dụng năng lượng sạch, năng lượng xanh, thân thiện môi trường: Ngân sách Thành phố hỗ trợ 50% lệ phí; riêng đối với các hộ nghèo, hộ cận nghèo mức hỗ trợ là 100%.</w:t>
            </w:r>
            <w:r w:rsidR="002A7165" w:rsidRPr="002A7165">
              <w:rPr>
                <w:rFonts w:ascii="Times New Roman" w:hAnsi="Times New Roman" w:cs="Times New Roman"/>
                <w:sz w:val="26"/>
                <w:szCs w:val="26"/>
              </w:rPr>
              <w:t xml:space="preserve"> </w:t>
            </w:r>
          </w:p>
        </w:tc>
        <w:tc>
          <w:tcPr>
            <w:tcW w:w="1994" w:type="pct"/>
            <w:hideMark/>
          </w:tcPr>
          <w:p w14:paraId="10159B7F" w14:textId="77777777" w:rsidR="002A7165" w:rsidRPr="002A7165" w:rsidRDefault="002A7165" w:rsidP="006A017E">
            <w:pPr>
              <w:spacing w:line="278" w:lineRule="auto"/>
              <w:ind w:left="57" w:right="57"/>
              <w:jc w:val="both"/>
              <w:rPr>
                <w:rFonts w:ascii="Times New Roman" w:eastAsia="Yu Gothic;游ゴシック" w:hAnsi="Times New Roman" w:cs="Times New Roman"/>
                <w:color w:val="000000" w:themeColor="text1"/>
                <w:sz w:val="26"/>
                <w:szCs w:val="26"/>
                <w:lang w:val="pt-BR"/>
              </w:rPr>
            </w:pPr>
            <w:r w:rsidRPr="002A7165">
              <w:rPr>
                <w:rFonts w:ascii="Times New Roman" w:eastAsia="Yu Gothic;游ゴシック" w:hAnsi="Times New Roman" w:cs="Times New Roman"/>
                <w:color w:val="000000" w:themeColor="text1"/>
                <w:sz w:val="26"/>
                <w:szCs w:val="26"/>
                <w:lang w:val="pt-BR"/>
              </w:rPr>
              <w:lastRenderedPageBreak/>
              <w:t xml:space="preserve">- </w:t>
            </w:r>
            <w:r w:rsidRPr="002A7165">
              <w:rPr>
                <w:rFonts w:ascii="Times New Roman" w:eastAsia="Yu Gothic;游ゴシック" w:hAnsi="Times New Roman" w:cs="Times New Roman"/>
                <w:color w:val="000000" w:themeColor="text1"/>
                <w:sz w:val="26"/>
                <w:szCs w:val="26"/>
              </w:rPr>
              <w:t>Hiện nay học sinh, sinh viên</w:t>
            </w:r>
            <w:r w:rsidRPr="002A7165">
              <w:rPr>
                <w:rFonts w:ascii="Times New Roman" w:eastAsia="Yu Gothic;游ゴシック" w:hAnsi="Times New Roman" w:cs="Times New Roman"/>
                <w:color w:val="000000" w:themeColor="text1"/>
                <w:sz w:val="26"/>
                <w:szCs w:val="26"/>
                <w:lang w:val="pt-BR"/>
              </w:rPr>
              <w:t xml:space="preserve">, công nhân các khu công nghiệp đang </w:t>
            </w:r>
            <w:r w:rsidRPr="002A7165">
              <w:rPr>
                <w:rFonts w:ascii="Times New Roman" w:eastAsia="Yu Gothic;游ゴシック" w:hAnsi="Times New Roman" w:cs="Times New Roman"/>
                <w:color w:val="000000" w:themeColor="text1"/>
                <w:sz w:val="26"/>
                <w:szCs w:val="26"/>
              </w:rPr>
              <w:t>được giảm 50% giá vé tháng xe buýt</w:t>
            </w:r>
            <w:r w:rsidRPr="002A7165">
              <w:rPr>
                <w:rFonts w:ascii="Times New Roman" w:eastAsia="Yu Gothic;游ゴシック" w:hAnsi="Times New Roman" w:cs="Times New Roman"/>
                <w:color w:val="000000" w:themeColor="text1"/>
                <w:sz w:val="26"/>
                <w:szCs w:val="26"/>
                <w:lang w:val="pt-BR"/>
              </w:rPr>
              <w:t xml:space="preserve"> theo quy định tại Nghị quyết số 07/2019/NQ-HĐND. Tuy nhiên đây là nhóm chưa có thu nhập chính thức, có nhu cầu đi lại thường xuyên và là đối tượng sử dụng xe buýt chủ lực. Để khuyến khích chuyển dịch từ phương tiện cá nhân sang vận tải công cộng, cần bổ sung chính sách </w:t>
            </w:r>
            <w:r w:rsidRPr="002A7165">
              <w:rPr>
                <w:rFonts w:ascii="Times New Roman" w:eastAsia="Yu Gothic;游ゴシック" w:hAnsi="Times New Roman" w:cs="Times New Roman"/>
                <w:b/>
                <w:bCs/>
                <w:color w:val="000000" w:themeColor="text1"/>
                <w:sz w:val="26"/>
                <w:szCs w:val="26"/>
                <w:lang w:val="pt-BR"/>
              </w:rPr>
              <w:t xml:space="preserve">miễn </w:t>
            </w:r>
            <w:r w:rsidRPr="002A7165">
              <w:rPr>
                <w:rFonts w:ascii="Times New Roman" w:eastAsia="Yu Gothic;游ゴシック" w:hAnsi="Times New Roman" w:cs="Times New Roman"/>
                <w:b/>
                <w:bCs/>
                <w:color w:val="000000" w:themeColor="text1"/>
                <w:sz w:val="26"/>
                <w:szCs w:val="26"/>
                <w:lang w:val="pt-BR"/>
              </w:rPr>
              <w:lastRenderedPageBreak/>
              <w:t>tiền vé sử dụng phương tiện VTHKCC khối lượng lớn</w:t>
            </w:r>
            <w:r w:rsidRPr="002A7165">
              <w:rPr>
                <w:rFonts w:ascii="Times New Roman" w:eastAsia="Yu Gothic;游ゴシック" w:hAnsi="Times New Roman" w:cs="Times New Roman"/>
                <w:color w:val="000000" w:themeColor="text1"/>
                <w:sz w:val="26"/>
                <w:szCs w:val="26"/>
                <w:lang w:val="pt-BR"/>
              </w:rPr>
              <w:t xml:space="preserve"> cho học sinh, sinh viên. Việc hỗ trợ này giúp giảm gánh nặng chi phí đối với nhóm đối tượng này, góp phần tăng sức hấp dẫn của xe buýt và mở rộng thị phần vận tải hành khách công cộng, phù hợp mục tiêu phát triển VTHKCC của Thành phố.</w:t>
            </w:r>
          </w:p>
          <w:p w14:paraId="333F842F" w14:textId="77777777" w:rsidR="002A7165" w:rsidRDefault="006F6D2B" w:rsidP="006A017E">
            <w:pPr>
              <w:spacing w:line="278" w:lineRule="auto"/>
              <w:ind w:left="57" w:right="57"/>
              <w:jc w:val="both"/>
              <w:rPr>
                <w:rFonts w:ascii="Times New Roman" w:hAnsi="Times New Roman" w:cs="Times New Roman"/>
                <w:sz w:val="26"/>
                <w:szCs w:val="26"/>
                <w:lang w:val="pt-BR"/>
              </w:rPr>
            </w:pPr>
            <w:r w:rsidRPr="006F6D2B">
              <w:rPr>
                <w:rFonts w:ascii="Times New Roman" w:hAnsi="Times New Roman" w:cs="Times New Roman"/>
                <w:sz w:val="26"/>
                <w:szCs w:val="26"/>
                <w:lang w:val="pt-BR"/>
              </w:rPr>
              <w:t>- Chính sách Miễn tiền vé sử dụng phương tiện vận tải hành khách công cộng khối lượng lớn đối với tất cả hành khách trong các dịp lễ, Tết và các dịp đặc biệt của đất nước, của thành phố Hà Nội là một trong những chính sách đang được Hà Nội thực hiện trong thời gian gần đây (nhưng chưa được quy định, mỗi dịp lễ tết phải trình xin chấp thuận chủ trương của Thành phố) và được sự đồng thuận, hưởng ứng của đông đảo người dân.</w:t>
            </w:r>
          </w:p>
          <w:p w14:paraId="27FB1388" w14:textId="55301344" w:rsidR="006F6D2B" w:rsidRPr="002A7165" w:rsidRDefault="006F6D2B" w:rsidP="006A017E">
            <w:pPr>
              <w:spacing w:line="278" w:lineRule="auto"/>
              <w:ind w:left="57" w:right="57"/>
              <w:jc w:val="both"/>
              <w:rPr>
                <w:rFonts w:ascii="Times New Roman" w:hAnsi="Times New Roman" w:cs="Times New Roman"/>
                <w:sz w:val="26"/>
                <w:szCs w:val="26"/>
                <w:lang w:val="pt-BR"/>
              </w:rPr>
            </w:pPr>
            <w:r w:rsidRPr="006F6D2B">
              <w:rPr>
                <w:rFonts w:ascii="Times New Roman" w:hAnsi="Times New Roman" w:cs="Times New Roman"/>
                <w:sz w:val="26"/>
                <w:szCs w:val="26"/>
                <w:lang w:val="pt-BR"/>
              </w:rPr>
              <w:t>- Chính sách hỗ trợ 50% lệ phí cấp giấy chứng nhận đăng ký, biển số đối với xe mô tô, xe gắn máy giúp hỗ trợ người dân một phần chi phí, tạo động lực để người dân sớm chuyển đổi phương tiện. Mức hỗ trợ này tương đồng với mức hỗ trợ của TP HCM.</w:t>
            </w:r>
          </w:p>
        </w:tc>
      </w:tr>
      <w:tr w:rsidR="002A7165" w:rsidRPr="002A7165" w14:paraId="4CAAC80F" w14:textId="77777777" w:rsidTr="002A7165">
        <w:tc>
          <w:tcPr>
            <w:tcW w:w="185" w:type="pct"/>
          </w:tcPr>
          <w:p w14:paraId="4FA40422" w14:textId="77777777" w:rsidR="002A7165" w:rsidRPr="002A7165" w:rsidRDefault="002A7165" w:rsidP="006A017E">
            <w:pPr>
              <w:spacing w:line="278" w:lineRule="auto"/>
              <w:ind w:left="57" w:right="57"/>
              <w:jc w:val="both"/>
              <w:rPr>
                <w:rFonts w:ascii="Times New Roman" w:hAnsi="Times New Roman" w:cs="Times New Roman"/>
                <w:b/>
                <w:bCs/>
                <w:sz w:val="26"/>
                <w:szCs w:val="26"/>
                <w:lang w:val="pt-BR"/>
              </w:rPr>
            </w:pPr>
          </w:p>
        </w:tc>
        <w:tc>
          <w:tcPr>
            <w:tcW w:w="562" w:type="pct"/>
          </w:tcPr>
          <w:p w14:paraId="623F60CB" w14:textId="77777777" w:rsidR="002A7165" w:rsidRPr="002A7165" w:rsidRDefault="002A7165" w:rsidP="006A017E">
            <w:pPr>
              <w:spacing w:line="278" w:lineRule="auto"/>
              <w:ind w:left="57" w:right="57"/>
              <w:jc w:val="both"/>
              <w:rPr>
                <w:rFonts w:ascii="Times New Roman" w:hAnsi="Times New Roman" w:cs="Times New Roman"/>
                <w:b/>
                <w:bCs/>
                <w:sz w:val="26"/>
                <w:szCs w:val="26"/>
                <w:lang w:val="pt-BR"/>
              </w:rPr>
            </w:pPr>
          </w:p>
        </w:tc>
        <w:tc>
          <w:tcPr>
            <w:tcW w:w="2259" w:type="pct"/>
          </w:tcPr>
          <w:p w14:paraId="77CF2E37"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2. Đối với đơn vị, tổ chức</w:t>
            </w:r>
            <w:r w:rsidRPr="002A7165">
              <w:rPr>
                <w:rFonts w:ascii="Times New Roman" w:hAnsi="Times New Roman" w:cs="Times New Roman"/>
                <w:sz w:val="26"/>
                <w:szCs w:val="26"/>
              </w:rPr>
              <w:t xml:space="preserve"> </w:t>
            </w:r>
          </w:p>
          <w:p w14:paraId="4E708EF7"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 xml:space="preserve">a) Ngân sách Thành phố hỗ trợ 50% lệ phí cấp giấy chứng nhận đăng ký, biển số đối với phương tiện giao thông xanh quy định tại điểm a khoản 2 Điều 4 và xe buýt sử dụng năng lượng sạch, năng lượng xanh, thân </w:t>
            </w:r>
            <w:r w:rsidRPr="00392AA3">
              <w:rPr>
                <w:rFonts w:ascii="Times New Roman" w:hAnsi="Times New Roman" w:cs="Times New Roman"/>
                <w:sz w:val="26"/>
                <w:szCs w:val="26"/>
              </w:rPr>
              <w:lastRenderedPageBreak/>
              <w:t xml:space="preserve">thiện môi trường khi đăng ký lần đầu. </w:t>
            </w:r>
          </w:p>
          <w:p w14:paraId="4F298986" w14:textId="77777777" w:rsidR="00392AA3" w:rsidRPr="00392AA3"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b) Ngân sách Thành phố hỗ trợ 100% lệ phí cấp giấy chứng nhận đăng ký, biển số đối với phương tiện thuộc sở hữu của doanh nghiệp kinh doanh vận tải hành khách bằng xe taxi, xe buýt khi thực hiện chuyển đổi sang phương tiện giao thông xanh theo quy định và tiếp tục sử dụng biển số định danh đã cấp cho doanh nghiệp đó.</w:t>
            </w:r>
          </w:p>
          <w:p w14:paraId="078DB3D2" w14:textId="77777777" w:rsidR="00392AA3" w:rsidRPr="004122CD" w:rsidRDefault="00392AA3" w:rsidP="00392AA3">
            <w:pPr>
              <w:spacing w:line="278" w:lineRule="auto"/>
              <w:ind w:left="57" w:right="57"/>
              <w:jc w:val="both"/>
              <w:rPr>
                <w:rFonts w:ascii="Times New Roman" w:hAnsi="Times New Roman" w:cs="Times New Roman"/>
                <w:color w:val="FF0000"/>
                <w:sz w:val="26"/>
                <w:szCs w:val="26"/>
              </w:rPr>
            </w:pPr>
            <w:r w:rsidRPr="004122CD">
              <w:rPr>
                <w:rFonts w:ascii="Times New Roman" w:hAnsi="Times New Roman" w:cs="Times New Roman"/>
                <w:color w:val="FF0000"/>
                <w:sz w:val="26"/>
                <w:szCs w:val="26"/>
              </w:rPr>
              <w:t xml:space="preserve">c) Các doanh nghiệp cung cấp phương tiện cho thuê phục vụ mục đích giao thông công cộng đô thị sử dụng tạm thời lòng đường, hè phố làm điểm đỗ, tập kết xe được miễn phí sử dụng lòng đường, hè phố trong thời gian tối đa 05 năm. </w:t>
            </w:r>
          </w:p>
          <w:p w14:paraId="7197E122" w14:textId="62384678" w:rsidR="002A7165" w:rsidRPr="002A7165"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sz w:val="26"/>
                <w:szCs w:val="26"/>
              </w:rPr>
              <w:t>3. Ủy ban nhân dân Thành phố quy định mức ưu đãi về giá dịch vụ trông giữ đối với phương tiện giao thông xanh.</w:t>
            </w:r>
          </w:p>
        </w:tc>
        <w:tc>
          <w:tcPr>
            <w:tcW w:w="1994" w:type="pct"/>
          </w:tcPr>
          <w:p w14:paraId="71A85DE9" w14:textId="77777777" w:rsidR="004122CD" w:rsidRPr="004122CD" w:rsidRDefault="004122CD" w:rsidP="004122CD">
            <w:pPr>
              <w:ind w:left="57" w:right="57"/>
              <w:jc w:val="both"/>
              <w:rPr>
                <w:rFonts w:ascii="Times New Roman" w:eastAsia="Yu Gothic;游ゴシック" w:hAnsi="Times New Roman" w:cs="Times New Roman"/>
                <w:color w:val="000000" w:themeColor="text1"/>
                <w:sz w:val="26"/>
                <w:szCs w:val="26"/>
                <w:lang w:val="pt-BR"/>
              </w:rPr>
            </w:pPr>
            <w:r w:rsidRPr="004122CD">
              <w:rPr>
                <w:rFonts w:ascii="Times New Roman" w:eastAsia="Yu Gothic;游ゴシック" w:hAnsi="Times New Roman" w:cs="Times New Roman"/>
                <w:color w:val="000000" w:themeColor="text1"/>
                <w:sz w:val="26"/>
                <w:szCs w:val="26"/>
                <w:lang w:val="pt-BR"/>
              </w:rPr>
              <w:lastRenderedPageBreak/>
              <w:t>- Tương tự như chính sách hỗ trợ cho cá nhân, các đơn vị thực hiện dịch vụ công ích, kinh doanh vận tải hành khách cũng được hưởng chính sách hỗ trợ 50% lệ phí cấp giấy chứng nhận đăng ký, biển số đối với phương tiện giao thông xanh khi đăng ký lần đầu.</w:t>
            </w:r>
          </w:p>
          <w:p w14:paraId="6327986C" w14:textId="77777777" w:rsidR="004122CD" w:rsidRPr="004122CD" w:rsidRDefault="004122CD" w:rsidP="004122CD">
            <w:pPr>
              <w:ind w:left="57" w:right="57"/>
              <w:jc w:val="both"/>
              <w:rPr>
                <w:rFonts w:ascii="Times New Roman" w:eastAsia="Yu Gothic;游ゴシック" w:hAnsi="Times New Roman" w:cs="Times New Roman"/>
                <w:color w:val="000000" w:themeColor="text1"/>
                <w:sz w:val="26"/>
                <w:szCs w:val="26"/>
                <w:lang w:val="pt-BR"/>
              </w:rPr>
            </w:pPr>
            <w:r w:rsidRPr="004122CD">
              <w:rPr>
                <w:rFonts w:ascii="Times New Roman" w:eastAsia="Yu Gothic;游ゴシック" w:hAnsi="Times New Roman" w:cs="Times New Roman"/>
                <w:color w:val="000000" w:themeColor="text1"/>
                <w:sz w:val="26"/>
                <w:szCs w:val="26"/>
                <w:lang w:val="pt-BR"/>
              </w:rPr>
              <w:lastRenderedPageBreak/>
              <w:t>Đối với các đơn vị tiếp tục sử dụng biển số định danh thì được hỗ trợ 100% lệ phí.</w:t>
            </w:r>
          </w:p>
          <w:p w14:paraId="79B93C3D" w14:textId="697C0684" w:rsidR="004122CD" w:rsidRDefault="004122CD" w:rsidP="004122CD">
            <w:pPr>
              <w:ind w:left="57" w:right="57"/>
              <w:jc w:val="both"/>
              <w:rPr>
                <w:rFonts w:ascii="Times New Roman" w:eastAsia="Yu Gothic;游ゴシック" w:hAnsi="Times New Roman" w:cs="Times New Roman"/>
                <w:color w:val="000000" w:themeColor="text1"/>
                <w:sz w:val="26"/>
                <w:szCs w:val="26"/>
                <w:lang w:val="pt-BR"/>
              </w:rPr>
            </w:pPr>
            <w:r>
              <w:rPr>
                <w:rFonts w:ascii="Times New Roman" w:eastAsia="Yu Gothic;游ゴシック" w:hAnsi="Times New Roman" w:cs="Times New Roman"/>
                <w:color w:val="000000" w:themeColor="text1"/>
                <w:sz w:val="26"/>
                <w:szCs w:val="26"/>
                <w:lang w:val="pt-BR"/>
              </w:rPr>
              <w:t xml:space="preserve">- </w:t>
            </w:r>
            <w:r w:rsidRPr="004122CD">
              <w:rPr>
                <w:rFonts w:ascii="Times New Roman" w:eastAsia="Yu Gothic;游ゴシック" w:hAnsi="Times New Roman" w:cs="Times New Roman"/>
                <w:color w:val="000000" w:themeColor="text1"/>
                <w:sz w:val="26"/>
                <w:szCs w:val="26"/>
                <w:lang w:val="pt-BR"/>
              </w:rPr>
              <w:t>Đối với phương tiện là ô tô điện chạy pin, Chính phủ đã có chính sách hỗ trợ 100% lệ phí trước bạ lần đầu đến hết ngày 28/02/2027 quy định tại Nghị định số 51/2025/NĐ-CP ngày 01/3/2025.</w:t>
            </w:r>
          </w:p>
          <w:p w14:paraId="6AA4BB1A" w14:textId="13E1BEC2" w:rsidR="002A7165" w:rsidRPr="002A7165" w:rsidRDefault="00392AA3" w:rsidP="006A017E">
            <w:pPr>
              <w:ind w:left="57" w:right="57"/>
              <w:jc w:val="both"/>
              <w:rPr>
                <w:rFonts w:ascii="Times New Roman" w:hAnsi="Times New Roman" w:cs="Times New Roman"/>
                <w:sz w:val="26"/>
                <w:szCs w:val="26"/>
                <w:lang w:val="pt-BR"/>
              </w:rPr>
            </w:pPr>
            <w:r w:rsidRPr="002A7165">
              <w:rPr>
                <w:rFonts w:ascii="Times New Roman" w:eastAsia="Yu Gothic;游ゴシック" w:hAnsi="Times New Roman" w:cs="Times New Roman"/>
                <w:color w:val="000000" w:themeColor="text1"/>
                <w:sz w:val="26"/>
                <w:szCs w:val="26"/>
                <w:lang w:val="pt-BR"/>
              </w:rPr>
              <w:t xml:space="preserve">- Hiện nay, thuế, phí và giá dịch vụ trông giữ phương tiện tại bãi đỗ công cộng chưa phân biệt rõ giữa phương tiện giao thông xanh và phương tiện cơ giới sử dụng nhiên liệu hóa thạch, khiến người dân chưa thấy lợi ích khi chuyển đổi sang xe năng lượng sạch. Vì vậy, cần bổ sung </w:t>
            </w:r>
            <w:r w:rsidRPr="002A7165">
              <w:rPr>
                <w:rFonts w:ascii="Times New Roman" w:eastAsia="Yu Gothic;游ゴシック" w:hAnsi="Times New Roman" w:cs="Times New Roman"/>
                <w:b/>
                <w:bCs/>
                <w:color w:val="000000" w:themeColor="text1"/>
                <w:sz w:val="26"/>
                <w:szCs w:val="26"/>
                <w:lang w:val="pt-BR"/>
              </w:rPr>
              <w:t>chính sách ưu đãi</w:t>
            </w:r>
            <w:r w:rsidRPr="002A7165">
              <w:rPr>
                <w:rFonts w:ascii="Times New Roman" w:eastAsia="Yu Gothic;游ゴシック" w:hAnsi="Times New Roman" w:cs="Times New Roman"/>
                <w:color w:val="000000" w:themeColor="text1"/>
                <w:sz w:val="26"/>
                <w:szCs w:val="26"/>
                <w:lang w:val="pt-BR"/>
              </w:rPr>
              <w:t xml:space="preserve"> cho doanh nghiệp cung cấp dịch vụ cho thuê phương tiện giao thông xanh tự lái phục vụ mục đích công cộng, đồng thời ưu đãi giá dịch vụ trông giữ phương tiện xanh, nhằm khuyến khích sử dụng và phát triển phương tiện giao thông xanh tại Thành phố.</w:t>
            </w:r>
          </w:p>
        </w:tc>
      </w:tr>
      <w:tr w:rsidR="002A7165" w:rsidRPr="002A7165" w14:paraId="6A768D5F" w14:textId="77777777" w:rsidTr="002A7165">
        <w:tc>
          <w:tcPr>
            <w:tcW w:w="185" w:type="pct"/>
            <w:hideMark/>
          </w:tcPr>
          <w:p w14:paraId="02495E05"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6</w:t>
            </w:r>
          </w:p>
        </w:tc>
        <w:tc>
          <w:tcPr>
            <w:tcW w:w="562" w:type="pct"/>
            <w:hideMark/>
          </w:tcPr>
          <w:p w14:paraId="53A8A2B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Biện pháp hạn chế sử dụng phương tiện GTĐB phát thải gây ô nhiễm môi trường</w:t>
            </w:r>
          </w:p>
        </w:tc>
        <w:tc>
          <w:tcPr>
            <w:tcW w:w="2259" w:type="pct"/>
            <w:hideMark/>
          </w:tcPr>
          <w:p w14:paraId="0777D3A1"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6. Biện pháp hạn chế sử dụng phương tiện giao thông đường bộ phát thải gây ô nhiễm môi trường</w:t>
            </w:r>
            <w:r w:rsidRPr="002A7165">
              <w:rPr>
                <w:rFonts w:ascii="Times New Roman" w:hAnsi="Times New Roman" w:cs="Times New Roman"/>
                <w:sz w:val="26"/>
                <w:szCs w:val="26"/>
              </w:rPr>
              <w:t xml:space="preserve"> </w:t>
            </w:r>
          </w:p>
          <w:p w14:paraId="67C68348" w14:textId="77777777" w:rsidR="00392AA3" w:rsidRPr="00392AA3" w:rsidRDefault="00392AA3" w:rsidP="00392AA3">
            <w:pPr>
              <w:spacing w:line="278" w:lineRule="auto"/>
              <w:ind w:left="57" w:right="57"/>
              <w:jc w:val="both"/>
              <w:rPr>
                <w:rFonts w:ascii="Times New Roman" w:hAnsi="Times New Roman" w:cs="Times New Roman"/>
                <w:bCs/>
                <w:sz w:val="26"/>
                <w:szCs w:val="26"/>
              </w:rPr>
            </w:pPr>
            <w:r w:rsidRPr="00392AA3">
              <w:rPr>
                <w:rFonts w:ascii="Times New Roman" w:hAnsi="Times New Roman" w:cs="Times New Roman"/>
                <w:bCs/>
                <w:sz w:val="26"/>
                <w:szCs w:val="26"/>
              </w:rPr>
              <w:t xml:space="preserve">1. Đối với một số phương tiện giao thông đường bộ chỉ có động cơ sử dụng nhiên liệu hóa thạch hoạt động kinh doanh vận tải trên địa bàn Thành phố áp dụng quy định cụ thể sau: </w:t>
            </w:r>
          </w:p>
          <w:p w14:paraId="45A74410" w14:textId="77777777" w:rsidR="00392AA3" w:rsidRPr="00392AA3" w:rsidRDefault="00392AA3" w:rsidP="00392AA3">
            <w:pPr>
              <w:spacing w:line="278" w:lineRule="auto"/>
              <w:ind w:left="57" w:right="57"/>
              <w:jc w:val="both"/>
              <w:rPr>
                <w:rFonts w:ascii="Times New Roman" w:hAnsi="Times New Roman" w:cs="Times New Roman"/>
                <w:bCs/>
                <w:sz w:val="26"/>
                <w:szCs w:val="26"/>
              </w:rPr>
            </w:pPr>
            <w:r w:rsidRPr="00392AA3">
              <w:rPr>
                <w:rFonts w:ascii="Times New Roman" w:hAnsi="Times New Roman" w:cs="Times New Roman"/>
                <w:bCs/>
                <w:sz w:val="26"/>
                <w:szCs w:val="26"/>
              </w:rPr>
              <w:t xml:space="preserve">a) Đối với xe mô tô, xe gắn máy hoạt động kinh doanh vận tải (trong đó có phương tiện sử dụng nền tảng phần mềm ứng dụng hỗ trợ kết nối vận tải): Đơn vị cung cấp phần mềm ứng dụng thực hiện chuyển đổi xanh đảm bảo tỷ lệ phương tiện sử dụng năng lượng điện, năng lượng </w:t>
            </w:r>
            <w:r w:rsidRPr="00392AA3">
              <w:rPr>
                <w:rFonts w:ascii="Times New Roman" w:hAnsi="Times New Roman" w:cs="Times New Roman"/>
                <w:bCs/>
                <w:sz w:val="26"/>
                <w:szCs w:val="26"/>
              </w:rPr>
              <w:lastRenderedPageBreak/>
              <w:t xml:space="preserve">sạch, năng lượng xanh, thân thiện môi trường theo lộ trình: 20% trước ngày 01 tháng 01 năm 2027; 50% trước ngày 01 tháng 01 năm 2028; 100% trước ngày 01 tháng 01 năm 2030. </w:t>
            </w:r>
          </w:p>
          <w:p w14:paraId="3CEAEAA9" w14:textId="77777777" w:rsidR="00392AA3" w:rsidRPr="00392AA3" w:rsidRDefault="00392AA3" w:rsidP="00392AA3">
            <w:pPr>
              <w:spacing w:line="278" w:lineRule="auto"/>
              <w:ind w:left="57" w:right="57"/>
              <w:jc w:val="both"/>
              <w:rPr>
                <w:rFonts w:ascii="Times New Roman" w:hAnsi="Times New Roman" w:cs="Times New Roman"/>
                <w:bCs/>
                <w:sz w:val="26"/>
                <w:szCs w:val="26"/>
              </w:rPr>
            </w:pPr>
            <w:r w:rsidRPr="00392AA3">
              <w:rPr>
                <w:rFonts w:ascii="Times New Roman" w:hAnsi="Times New Roman" w:cs="Times New Roman"/>
                <w:bCs/>
                <w:sz w:val="26"/>
                <w:szCs w:val="26"/>
              </w:rPr>
              <w:t>b) Đối với xe taxi, xe ô tô chở người đến 08 chỗ (không kể chỗ của người lái xe) hoạt động kinh doanh vận tải (trong đó có phương tiện sử dụng nền tảng phần mềm ứng dụng hỗ trợ kết nối vận tải): Đơn vị kinh doanh vận tải thực hiện chuyển đổi xanh đảm bảo tỷ lệ phương tiện sử dụng năng lượng sạch, năng lượng xanh, thân thiện môi trường theo lộ trình: 50% trước ngày 01 tháng 01 năm 2028; 100% trước ngày 01 tháng 01 năm 2030.</w:t>
            </w:r>
          </w:p>
          <w:p w14:paraId="1B392EDD" w14:textId="77777777" w:rsidR="00392AA3" w:rsidRPr="00392AA3" w:rsidRDefault="00392AA3" w:rsidP="00392AA3">
            <w:pPr>
              <w:spacing w:line="278" w:lineRule="auto"/>
              <w:ind w:left="57" w:right="57"/>
              <w:jc w:val="both"/>
              <w:rPr>
                <w:rFonts w:ascii="Times New Roman" w:hAnsi="Times New Roman" w:cs="Times New Roman"/>
                <w:bCs/>
                <w:sz w:val="26"/>
                <w:szCs w:val="26"/>
              </w:rPr>
            </w:pPr>
            <w:r w:rsidRPr="00392AA3">
              <w:rPr>
                <w:rFonts w:ascii="Times New Roman" w:hAnsi="Times New Roman" w:cs="Times New Roman"/>
                <w:bCs/>
                <w:sz w:val="26"/>
                <w:szCs w:val="26"/>
              </w:rPr>
              <w:t>c) Từ ngày 01 tháng 7 năm 2026, tất cả phương tiện thay thế, đầu tư mới đối với các loại xe quy định tại điểm b khoản này sử dụng năng lượng sạch, năng lượng xanh, thân thiện môi trường.</w:t>
            </w:r>
          </w:p>
          <w:p w14:paraId="42E6CA50" w14:textId="7BC7831D" w:rsidR="002A7165" w:rsidRPr="002A7165" w:rsidRDefault="00392AA3" w:rsidP="00392AA3">
            <w:pPr>
              <w:spacing w:line="278" w:lineRule="auto"/>
              <w:ind w:left="57" w:right="57"/>
              <w:jc w:val="both"/>
              <w:rPr>
                <w:rFonts w:ascii="Times New Roman" w:hAnsi="Times New Roman" w:cs="Times New Roman"/>
                <w:sz w:val="26"/>
                <w:szCs w:val="26"/>
              </w:rPr>
            </w:pPr>
            <w:r w:rsidRPr="00392AA3">
              <w:rPr>
                <w:rFonts w:ascii="Times New Roman" w:hAnsi="Times New Roman" w:cs="Times New Roman"/>
                <w:bCs/>
                <w:sz w:val="26"/>
                <w:szCs w:val="26"/>
              </w:rPr>
              <w:t>2. Biện pháp tổ chức giao thông đối với phương tiện giao thông đường bộ phát thải gây ô nhiễm môi trường trong vùng phát thải thấp: thực hiện theo Nghị quyết của Hội đồng nhân dân Thành phố quy định thực hiện vùng phát thải thấp trên địa bàn thành phố Hà Nội.</w:t>
            </w:r>
          </w:p>
        </w:tc>
        <w:tc>
          <w:tcPr>
            <w:tcW w:w="1994" w:type="pct"/>
            <w:hideMark/>
          </w:tcPr>
          <w:p w14:paraId="441EBE47" w14:textId="738CD752" w:rsidR="002A7165" w:rsidRPr="002A7165" w:rsidRDefault="00343607" w:rsidP="006A017E">
            <w:pPr>
              <w:spacing w:line="278" w:lineRule="auto"/>
              <w:ind w:left="57" w:right="57"/>
              <w:jc w:val="both"/>
              <w:rPr>
                <w:rFonts w:ascii="Times New Roman" w:hAnsi="Times New Roman" w:cs="Times New Roman"/>
                <w:sz w:val="26"/>
                <w:szCs w:val="26"/>
              </w:rPr>
            </w:pPr>
            <w:r w:rsidRPr="00343607">
              <w:rPr>
                <w:rFonts w:ascii="Times New Roman" w:eastAsia="Yu Gothic;游ゴシック" w:hAnsi="Times New Roman" w:cs="Times New Roman"/>
                <w:color w:val="000000" w:themeColor="text1"/>
                <w:sz w:val="26"/>
                <w:szCs w:val="26"/>
              </w:rPr>
              <w:lastRenderedPageBreak/>
              <w:t xml:space="preserve">- Trước tình trạng ô nhiễm và ùn tắc tại vùng lõi Hà Nội, việc quản lý phương tiện theo vành đai là cần thiết đồng thời với việc thực hiện theo chỉ đạo của Chính phủ. Phương án đề xuất không có xe mô tô, xe gắn máy sử dụng nhiên liệu hóa thạch trong vành đai 3 từ 2030, với lộ trình chuyển đổi cụ thể: mô tô, xe gắn máy hoạt động kinh doanh vận tải phải hoàn tất chuyển đổi trước 01/01/2030; xe taxi và ô tô đến 8 chỗ kinh doanh trên nền tảng kết nối vận tải phải chuyển đổi sớm hơn. Lý do là các phương tiện kinh doanh vận tải di chuyển liên </w:t>
            </w:r>
            <w:r w:rsidRPr="00343607">
              <w:rPr>
                <w:rFonts w:ascii="Times New Roman" w:eastAsia="Yu Gothic;游ゴシック" w:hAnsi="Times New Roman" w:cs="Times New Roman"/>
                <w:color w:val="000000" w:themeColor="text1"/>
                <w:sz w:val="26"/>
                <w:szCs w:val="26"/>
              </w:rPr>
              <w:lastRenderedPageBreak/>
              <w:t>tục, phục vụ hành khách thường xuyên, nên nếu không chuyển đổi trước sẽ gây phát thải lớn, ảnh hưởng nhanh đến môi trường. Xác định thời hạn và đối tượng cụ thể giúp triển khai đồng bộ, vừa quyết liệt, vừa phù hợp thực tiễn, bảo đảm hiệu quả quản lý môi trường và đời sống dân sinh.</w:t>
            </w:r>
          </w:p>
        </w:tc>
      </w:tr>
      <w:tr w:rsidR="002A7165" w:rsidRPr="002A7165" w14:paraId="56CA1BE7" w14:textId="77777777" w:rsidTr="002A7165">
        <w:tc>
          <w:tcPr>
            <w:tcW w:w="185" w:type="pct"/>
          </w:tcPr>
          <w:p w14:paraId="611A5EB6"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562" w:type="pct"/>
          </w:tcPr>
          <w:p w14:paraId="4BB046DB"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2259" w:type="pct"/>
          </w:tcPr>
          <w:p w14:paraId="580D1725" w14:textId="663D6F36" w:rsidR="002A7165" w:rsidRPr="002A7165" w:rsidRDefault="00392AA3" w:rsidP="006A017E">
            <w:pPr>
              <w:spacing w:line="278" w:lineRule="auto"/>
              <w:ind w:left="57" w:right="57"/>
              <w:jc w:val="both"/>
              <w:rPr>
                <w:rFonts w:ascii="Times New Roman" w:hAnsi="Times New Roman" w:cs="Times New Roman"/>
                <w:b/>
                <w:bCs/>
                <w:sz w:val="26"/>
                <w:szCs w:val="26"/>
              </w:rPr>
            </w:pPr>
            <w:r w:rsidRPr="00392AA3">
              <w:rPr>
                <w:rFonts w:ascii="Times New Roman" w:hAnsi="Times New Roman" w:cs="Times New Roman"/>
                <w:bCs/>
                <w:sz w:val="26"/>
                <w:szCs w:val="26"/>
              </w:rPr>
              <w:t>3. Biện pháp tổ chức giao thông đối với phương tiện giao thông đường bộ phát thải gây ô nhiễm môi trường ngoài vùng phát thải thấp có lộ trình thực hiện theo quy định của Chính phủ.</w:t>
            </w:r>
          </w:p>
        </w:tc>
        <w:tc>
          <w:tcPr>
            <w:tcW w:w="1994" w:type="pct"/>
          </w:tcPr>
          <w:p w14:paraId="3F8AA3B6"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rPr>
            </w:pPr>
            <w:r w:rsidRPr="00343607">
              <w:rPr>
                <w:rFonts w:ascii="Times New Roman" w:eastAsia="Yu Gothic;游ゴシック" w:hAnsi="Times New Roman" w:cs="Times New Roman"/>
                <w:color w:val="000000" w:themeColor="text1"/>
                <w:sz w:val="26"/>
                <w:szCs w:val="26"/>
              </w:rPr>
              <w:t xml:space="preserve">Hà Nội có mật độ xe máy thuộc nhóm cao nhất thế giới, tập trung vào khu vực nội đô lịch sử vốn có đường hẹp, thiếu cây xanh và không khí lưu thông kém. Tuy nhiên, để đảm bảo sự công bằng đối với việc sử dụng phương tiện xe mô tô, xe gắn máy và xe ô tô đối với những phương tiện ngoài vùng phát thải thấp đề xuất áp dụng đáp ứng theo </w:t>
            </w:r>
            <w:r w:rsidRPr="00343607">
              <w:rPr>
                <w:rFonts w:ascii="Times New Roman" w:eastAsia="Yu Gothic;游ゴシック" w:hAnsi="Times New Roman" w:cs="Times New Roman"/>
                <w:color w:val="000000" w:themeColor="text1"/>
                <w:sz w:val="26"/>
                <w:szCs w:val="26"/>
              </w:rPr>
              <w:lastRenderedPageBreak/>
              <w:t>Quy chuẩn kỹ thuật Quốc gia về khí thải xe mô tô, xe gắn máy tham gia giao thông đường bộ (QCVN 99:2025/BNNMT) và (QCVN 99:2025/BNNMT)</w:t>
            </w:r>
          </w:p>
          <w:p w14:paraId="44B75575"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rPr>
            </w:pPr>
            <w:r w:rsidRPr="00343607">
              <w:rPr>
                <w:rFonts w:ascii="Times New Roman" w:eastAsia="Yu Gothic;游ゴシック" w:hAnsi="Times New Roman" w:cs="Times New Roman"/>
                <w:color w:val="000000" w:themeColor="text1"/>
                <w:sz w:val="26"/>
                <w:szCs w:val="26"/>
              </w:rPr>
              <w:t>- Tiền lệ quốc tế đã kiểm chứng:</w:t>
            </w:r>
          </w:p>
          <w:p w14:paraId="48564943"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rPr>
            </w:pPr>
            <w:r w:rsidRPr="00343607">
              <w:rPr>
                <w:rFonts w:ascii="Times New Roman" w:eastAsia="Yu Gothic;游ゴシック" w:hAnsi="Times New Roman" w:cs="Times New Roman"/>
                <w:color w:val="000000" w:themeColor="text1"/>
                <w:sz w:val="26"/>
                <w:szCs w:val="26"/>
              </w:rPr>
              <w:t>London (ULEZ), Paris (ZFE), Seoul (Restricted Driving Zone) đều áp dụng mô hình tương tự: tiêu chuẩn quốc gia là sàn, thành phố lớn đặt thêm tiêu chuẩn cao hơn theo khu vực và giờ. Không thành phố nào chờ toàn quốc đồng thuận mới siết thêm.</w:t>
            </w:r>
          </w:p>
          <w:p w14:paraId="31456E6D"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rPr>
            </w:pPr>
            <w:r w:rsidRPr="00343607">
              <w:rPr>
                <w:rFonts w:ascii="Times New Roman" w:eastAsia="Yu Gothic;游ゴシック" w:hAnsi="Times New Roman" w:cs="Times New Roman"/>
                <w:color w:val="000000" w:themeColor="text1"/>
                <w:sz w:val="26"/>
                <w:szCs w:val="26"/>
              </w:rPr>
              <w:t>- Lộ trình kiểm định là điều kiện tiên quyết:</w:t>
            </w:r>
          </w:p>
          <w:p w14:paraId="5D671629" w14:textId="4FAA1254" w:rsidR="002A7165" w:rsidRPr="002A7165" w:rsidRDefault="00343607" w:rsidP="00343607">
            <w:pPr>
              <w:ind w:left="57" w:right="57"/>
              <w:jc w:val="both"/>
              <w:rPr>
                <w:rFonts w:ascii="Times New Roman" w:eastAsia="Yu Gothic;游ゴシック" w:hAnsi="Times New Roman" w:cs="Times New Roman"/>
                <w:color w:val="000000" w:themeColor="text1"/>
                <w:sz w:val="26"/>
                <w:szCs w:val="26"/>
              </w:rPr>
            </w:pPr>
            <w:r w:rsidRPr="00343607">
              <w:rPr>
                <w:rFonts w:ascii="Times New Roman" w:eastAsia="Yu Gothic;游ゴシック" w:hAnsi="Times New Roman" w:cs="Times New Roman"/>
                <w:color w:val="000000" w:themeColor="text1"/>
                <w:sz w:val="26"/>
                <w:szCs w:val="26"/>
              </w:rPr>
              <w:t>Hà Nội bắt đầu kiểm định xe máy từ 1/7/2027, trước 6 tháng so với ngày áp dụng quy định khu vực. Đến 1/1/2028, hệ thống đã có cơ sở dữ liệu đăng kiểm để nhận diện xe đạt/không đạt theo mức, đây là điều kiện hạ tầng để thực thi, không phải giả định.</w:t>
            </w:r>
          </w:p>
        </w:tc>
      </w:tr>
      <w:tr w:rsidR="002A7165" w:rsidRPr="002A7165" w14:paraId="40F8ECD7" w14:textId="77777777" w:rsidTr="002A7165">
        <w:tc>
          <w:tcPr>
            <w:tcW w:w="185" w:type="pct"/>
          </w:tcPr>
          <w:p w14:paraId="229D542C"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562" w:type="pct"/>
          </w:tcPr>
          <w:p w14:paraId="08B2DB01" w14:textId="77777777" w:rsidR="002A7165" w:rsidRPr="002A7165" w:rsidRDefault="002A7165" w:rsidP="006A017E">
            <w:pPr>
              <w:spacing w:line="278" w:lineRule="auto"/>
              <w:ind w:left="57" w:right="57"/>
              <w:jc w:val="both"/>
              <w:rPr>
                <w:rFonts w:ascii="Times New Roman" w:hAnsi="Times New Roman" w:cs="Times New Roman"/>
                <w:b/>
                <w:bCs/>
                <w:sz w:val="26"/>
                <w:szCs w:val="26"/>
              </w:rPr>
            </w:pPr>
          </w:p>
        </w:tc>
        <w:tc>
          <w:tcPr>
            <w:tcW w:w="2259" w:type="pct"/>
          </w:tcPr>
          <w:p w14:paraId="7CAA2CB8"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4. Từ ngày 01 tháng 01 năm 2035, Ủy ban nhân dân Thành phố quyết định việc hạn chế lưu thông một số loại phương tiện giao thông cá nhân, lộ trình, phạm vi trên một số tuyến đường, phần đường, làn đường, chiều đường, khung giờ phù hợp điều kiện thực tế và điều kiện hạ tầng giao thông công cộng.</w:t>
            </w:r>
          </w:p>
          <w:p w14:paraId="35E9B822" w14:textId="278293D8" w:rsidR="002A7165" w:rsidRPr="002A7165" w:rsidRDefault="00343607" w:rsidP="00343607">
            <w:pPr>
              <w:spacing w:line="278" w:lineRule="auto"/>
              <w:ind w:left="57" w:right="57"/>
              <w:jc w:val="both"/>
              <w:rPr>
                <w:rFonts w:ascii="Times New Roman" w:hAnsi="Times New Roman" w:cs="Times New Roman"/>
                <w:b/>
                <w:bCs/>
                <w:sz w:val="26"/>
                <w:szCs w:val="26"/>
              </w:rPr>
            </w:pPr>
            <w:r w:rsidRPr="00343607">
              <w:rPr>
                <w:rFonts w:ascii="Times New Roman" w:hAnsi="Times New Roman" w:cs="Times New Roman"/>
                <w:bCs/>
                <w:sz w:val="26"/>
                <w:szCs w:val="26"/>
              </w:rPr>
              <w:t>Chậm nhất 12 tháng trước ngày áp dụng mỗi giai đoạn hạn chế, Ủy ban nhân dân Thành phố phải công bố công khai phạm vi, lộ trình hạn chế cụ thể và phương án giao thông thay thế cho người dân.</w:t>
            </w:r>
          </w:p>
        </w:tc>
        <w:tc>
          <w:tcPr>
            <w:tcW w:w="1994" w:type="pct"/>
          </w:tcPr>
          <w:p w14:paraId="24E95AA5"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lang w:val="pt-BR"/>
              </w:rPr>
            </w:pPr>
            <w:r w:rsidRPr="00343607">
              <w:rPr>
                <w:rFonts w:ascii="Times New Roman" w:eastAsia="Yu Gothic;游ゴシック" w:hAnsi="Times New Roman" w:cs="Times New Roman"/>
                <w:color w:val="000000" w:themeColor="text1"/>
                <w:sz w:val="26"/>
                <w:szCs w:val="26"/>
                <w:lang w:val="pt-BR"/>
              </w:rPr>
              <w:t xml:space="preserve">- Theo Đề án tổng thể đầu tư xây dựng đường sắt đô thị do Ban Quản lý cung cấp, đến năm 2030, Hà Nội dự kiến hoàn thành thi công 96,8 km các tuyến số 2, 3 và 5, đồng thời triển khai công tác chuẩn bị đầu tư 301 km các tuyến còn lại, bao gồm tuyến số 1, 2A kéo dài đến Xuân Mai, số 4, 6, 7, 8 và các tuyến vệ tinh Sơn Tây - Hòa Lạc - Xuân Mai. Toàn bộ hệ thống dự kiến hoàn thiện vào năm 2035, đáp ứng nhu cầu vận tải hành khách ngày càng tăng. Khi kết hợp với mạng lưới buýt hiện có và các dịch vụ xe đạp, xe máy công cộng kết nối các tuyến chính, thành phố sẽ sở hữu một hệ thống vận tải công cộng hiện đại, đồng bộ và thuận tiện. </w:t>
            </w:r>
          </w:p>
          <w:p w14:paraId="274731A0" w14:textId="77777777" w:rsidR="00343607" w:rsidRPr="00343607" w:rsidRDefault="00343607" w:rsidP="00343607">
            <w:pPr>
              <w:ind w:left="57" w:right="57"/>
              <w:jc w:val="both"/>
              <w:rPr>
                <w:rFonts w:ascii="Times New Roman" w:eastAsia="Yu Gothic;游ゴシック" w:hAnsi="Times New Roman" w:cs="Times New Roman"/>
                <w:color w:val="000000" w:themeColor="text1"/>
                <w:sz w:val="26"/>
                <w:szCs w:val="26"/>
                <w:lang w:val="pt-BR"/>
              </w:rPr>
            </w:pPr>
            <w:r w:rsidRPr="00343607">
              <w:rPr>
                <w:rFonts w:ascii="Times New Roman" w:eastAsia="Yu Gothic;游ゴシック" w:hAnsi="Times New Roman" w:cs="Times New Roman"/>
                <w:color w:val="000000" w:themeColor="text1"/>
                <w:sz w:val="26"/>
                <w:szCs w:val="26"/>
                <w:lang w:val="pt-BR"/>
              </w:rPr>
              <w:t xml:space="preserve">- Việc xác định phạm vi hạn chế lưu thông phương </w:t>
            </w:r>
            <w:r w:rsidRPr="00343607">
              <w:rPr>
                <w:rFonts w:ascii="Times New Roman" w:eastAsia="Yu Gothic;游ゴシック" w:hAnsi="Times New Roman" w:cs="Times New Roman"/>
                <w:color w:val="000000" w:themeColor="text1"/>
                <w:sz w:val="26"/>
                <w:szCs w:val="26"/>
                <w:lang w:val="pt-BR"/>
              </w:rPr>
              <w:lastRenderedPageBreak/>
              <w:t xml:space="preserve">tiện giao thông cá nhân căn cứ vào khả năng cung ứng dịch vụ VTHKCC trong vùng (đường sắt đô thị, xe buýt, xe đạp công cộng…) đã đáp ứng nhu cầu đi lại của người dân, các chuyến đi được chuyển đổi, thay thế kịp thời và không bị gián đoạn. Vùng được cũng được xác định thực hiện hạn chế đảm bảo điều kiện về hạ tầng giao thông, tổ chức, phân luồng giao thông và hệ thống giám sát đáp ứng làm cơ sở, điều kiện tiên quyết để bảo đảm tính khả thi, hiệu quả hoạt động của vùng. </w:t>
            </w:r>
          </w:p>
          <w:p w14:paraId="6249B6DB" w14:textId="71479E1D" w:rsidR="002A7165" w:rsidRPr="002A7165" w:rsidRDefault="00343607" w:rsidP="00343607">
            <w:pPr>
              <w:ind w:left="57" w:right="57"/>
              <w:jc w:val="both"/>
              <w:rPr>
                <w:rFonts w:ascii="Times New Roman" w:eastAsia="Yu Gothic;游ゴシック" w:hAnsi="Times New Roman" w:cs="Times New Roman"/>
                <w:color w:val="000000" w:themeColor="text1"/>
                <w:sz w:val="26"/>
                <w:szCs w:val="26"/>
                <w:lang w:val="pt-BR"/>
              </w:rPr>
            </w:pPr>
            <w:r w:rsidRPr="00343607">
              <w:rPr>
                <w:rFonts w:ascii="Times New Roman" w:eastAsia="Yu Gothic;游ゴシック" w:hAnsi="Times New Roman" w:cs="Times New Roman"/>
                <w:color w:val="000000" w:themeColor="text1"/>
                <w:sz w:val="26"/>
                <w:szCs w:val="26"/>
                <w:lang w:val="pt-BR"/>
              </w:rPr>
              <w:t>- Quy định thời gian chậm nhất 12 tháng trước ngày áp dụng mỗi giai đoạn hạn chế, Ủy ban nhân dân Thành phố phải công bố công khai bản đồ phạm vi hạn chế, lộ trình cụ thể, gói hỗ trợ chuyển đổi phương tiện bổ sung và phương án giao thông thay thế cho người dân trong phạm vi hạn chế nhằm đảm bảo tổ chức, cá nhân khu vực nằm trong phạm vi hạn chế kịp thời chuyển đổi hoặc có phương án thay thế.</w:t>
            </w:r>
          </w:p>
        </w:tc>
      </w:tr>
      <w:tr w:rsidR="002A7165" w:rsidRPr="002A7165" w14:paraId="7B169C56" w14:textId="77777777" w:rsidTr="002A7165">
        <w:tc>
          <w:tcPr>
            <w:tcW w:w="185" w:type="pct"/>
            <w:hideMark/>
          </w:tcPr>
          <w:p w14:paraId="28A2C28F"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7</w:t>
            </w:r>
          </w:p>
        </w:tc>
        <w:tc>
          <w:tcPr>
            <w:tcW w:w="562" w:type="pct"/>
            <w:hideMark/>
          </w:tcPr>
          <w:p w14:paraId="070EA23F"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Biện pháp điều chỉnh giá dịch vụ trông giữ phương tiện sử dụng nhiên liệu hóa thạch</w:t>
            </w:r>
          </w:p>
        </w:tc>
        <w:tc>
          <w:tcPr>
            <w:tcW w:w="2259" w:type="pct"/>
            <w:hideMark/>
          </w:tcPr>
          <w:p w14:paraId="34122154" w14:textId="77777777" w:rsidR="002A7165" w:rsidRDefault="002A7165" w:rsidP="00343607">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7. Biện pháp điều chỉnh giá dịch vụ trông giữ phương tiện giao thông đường bộ sử dụng nhiên liệu hóa thạch</w:t>
            </w:r>
            <w:r w:rsidRPr="002A7165">
              <w:rPr>
                <w:rFonts w:ascii="Times New Roman" w:hAnsi="Times New Roman" w:cs="Times New Roman"/>
                <w:sz w:val="26"/>
                <w:szCs w:val="26"/>
              </w:rPr>
              <w:t xml:space="preserve"> </w:t>
            </w:r>
          </w:p>
          <w:p w14:paraId="57730A80" w14:textId="05F91DF4" w:rsidR="00343607" w:rsidRPr="002A7165" w:rsidRDefault="00343607" w:rsidP="00343607">
            <w:pPr>
              <w:spacing w:line="278" w:lineRule="auto"/>
              <w:ind w:left="57" w:right="57"/>
              <w:jc w:val="both"/>
              <w:rPr>
                <w:rFonts w:ascii="Times New Roman" w:hAnsi="Times New Roman" w:cs="Times New Roman"/>
                <w:sz w:val="26"/>
                <w:szCs w:val="26"/>
              </w:rPr>
            </w:pPr>
            <w:r w:rsidRPr="00343607">
              <w:rPr>
                <w:rFonts w:ascii="Times New Roman" w:hAnsi="Times New Roman" w:cs="Times New Roman"/>
                <w:sz w:val="26"/>
                <w:szCs w:val="26"/>
              </w:rPr>
              <w:t>Ủy ban nhân dân Thành phố quy định mức điều chỉnh giá dịch vụ trông giữ đối với phương tiện giao thông đường bộ sử dụng nhiên liệu hoá thạch.</w:t>
            </w:r>
          </w:p>
        </w:tc>
        <w:tc>
          <w:tcPr>
            <w:tcW w:w="1994" w:type="pct"/>
            <w:hideMark/>
          </w:tcPr>
          <w:p w14:paraId="2F2BB226" w14:textId="77777777" w:rsidR="00343607" w:rsidRPr="00343607" w:rsidRDefault="00343607" w:rsidP="00343607">
            <w:pPr>
              <w:tabs>
                <w:tab w:val="left" w:pos="968"/>
              </w:tabs>
              <w:spacing w:line="278" w:lineRule="auto"/>
              <w:ind w:left="57" w:right="57"/>
              <w:jc w:val="both"/>
              <w:rPr>
                <w:rFonts w:ascii="Times New Roman" w:hAnsi="Times New Roman" w:cs="Times New Roman"/>
                <w:sz w:val="26"/>
                <w:szCs w:val="26"/>
              </w:rPr>
            </w:pPr>
            <w:r w:rsidRPr="00343607">
              <w:rPr>
                <w:rFonts w:ascii="Times New Roman" w:hAnsi="Times New Roman" w:cs="Times New Roman"/>
                <w:sz w:val="26"/>
                <w:szCs w:val="26"/>
              </w:rPr>
              <w:t xml:space="preserve">- Việc UBND Thành phố quy định mức tăng giá dịch vụ trông giữ đối với phương tiện sử dụng nhiên liệu hóa thạch nhằm tạo cơ chế kéo – đẩy khuyến khích người dân chuyển sang sử dụng phương tiện giao thông xanh, thân thiện môi trường. Phương tiện sử dụng nhiên liệu hóa thạch hiện có mức phát thải cao, góp phần làm ô nhiễm không khí và tăng áp lực giao thông đô thị. Bằng cách tăng chi phí trông giữ, người dân sẽ cân nhắc hơn khi sử dụng phương tiện cá nhân, đồng thời thúc đẩy nhu cầu đối với các phương tiện giao </w:t>
            </w:r>
            <w:r w:rsidRPr="00343607">
              <w:rPr>
                <w:rFonts w:ascii="Times New Roman" w:hAnsi="Times New Roman" w:cs="Times New Roman"/>
                <w:sz w:val="26"/>
                <w:szCs w:val="26"/>
              </w:rPr>
              <w:lastRenderedPageBreak/>
              <w:t>thông xanh và vận tải công cộng. Cơ chế này cũng giúp tăng nguồn thu từ phí, lệ phí, có thể tái đầu tư cho phát triển hạ tầng giao thông công cộng và các giải pháp xanh khác, đồng thời cung cấp công cụ cho cơ quan quản lý điều tiết hành vi sử dụng phương tiện, hướng tới mục tiêu bảo vệ môi trường, cải thiện chất lượng không khí và phát triển giao thông bền vững.</w:t>
            </w:r>
          </w:p>
          <w:p w14:paraId="45DAEF2E" w14:textId="4B736A28" w:rsidR="002A7165" w:rsidRPr="002A7165" w:rsidRDefault="00343607" w:rsidP="00343607">
            <w:pPr>
              <w:tabs>
                <w:tab w:val="left" w:pos="968"/>
              </w:tabs>
              <w:spacing w:line="278" w:lineRule="auto"/>
              <w:ind w:left="57" w:right="57"/>
              <w:jc w:val="both"/>
              <w:rPr>
                <w:rFonts w:ascii="Times New Roman" w:hAnsi="Times New Roman" w:cs="Times New Roman"/>
                <w:sz w:val="26"/>
                <w:szCs w:val="26"/>
              </w:rPr>
            </w:pPr>
            <w:r w:rsidRPr="00343607">
              <w:rPr>
                <w:rFonts w:ascii="Times New Roman" w:hAnsi="Times New Roman" w:cs="Times New Roman"/>
                <w:sz w:val="26"/>
                <w:szCs w:val="26"/>
              </w:rPr>
              <w:t>- Biện pháp về áp dụng mức phí giảm ùn tắc giao thông nhằm hạn chế phương tiện giao thông cá nhân vào khu vực trung tâm để giảm ùn tắc giao thông, giảm phát thải được xây dựng tại Nghị quyết Chính sách phát triển vận tải (Thực hiện Điều 13, khoản 1 điểm b, điểm d Luật Thủ đô 2026).</w:t>
            </w:r>
          </w:p>
        </w:tc>
      </w:tr>
      <w:tr w:rsidR="002A7165" w:rsidRPr="002A7165" w14:paraId="4C851560" w14:textId="77777777" w:rsidTr="002A7165">
        <w:tc>
          <w:tcPr>
            <w:tcW w:w="185" w:type="pct"/>
            <w:hideMark/>
          </w:tcPr>
          <w:p w14:paraId="2D788D46"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8</w:t>
            </w:r>
          </w:p>
        </w:tc>
        <w:tc>
          <w:tcPr>
            <w:tcW w:w="562" w:type="pct"/>
            <w:hideMark/>
          </w:tcPr>
          <w:p w14:paraId="04D07DFD"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Phát triển hệ thống trạm tiếp năng lượng sạch công cộng</w:t>
            </w:r>
          </w:p>
        </w:tc>
        <w:tc>
          <w:tcPr>
            <w:tcW w:w="2259" w:type="pct"/>
            <w:hideMark/>
          </w:tcPr>
          <w:p w14:paraId="4D7E184B"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8. Phát triển hệ thống trạm tiếp năng lượng sạch công cộng</w:t>
            </w:r>
            <w:r w:rsidRPr="002A7165">
              <w:rPr>
                <w:rFonts w:ascii="Times New Roman" w:hAnsi="Times New Roman" w:cs="Times New Roman"/>
                <w:sz w:val="26"/>
                <w:szCs w:val="26"/>
              </w:rPr>
              <w:t xml:space="preserve"> </w:t>
            </w:r>
          </w:p>
          <w:p w14:paraId="0198DDB3"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1. Ủy ban nhân dân cấp xã tổ chức rà soát, đề xuất Ủy ban nhân dân Thành phố chấp thuận danh mục các vị trí đủ điều kiện để đầu tư lắp đặt trạm tiếp năng lượng sạch công cộng, đảm bảo nhu cầu thực tiễn; việc lắp đặt phải tuân thủ nghiêm ngặt các quy định về an toàn phòng cháy, chữa cháy và khả năng chịu tải của hệ thống điện.</w:t>
            </w:r>
          </w:p>
          <w:p w14:paraId="607DC862"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2. Tỷ lệ trạm tiếp năng lượng sạch công cộng trong phạm vi vành đai 3 được quy định như sau:</w:t>
            </w:r>
          </w:p>
          <w:p w14:paraId="547D45D2"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 xml:space="preserve">a) Đối với kết cấu hạ tầng đường bộ đang khai thác có bố trí chỗ đỗ xe, bãi đỗ xe trong khu chung cư, tòa nhà </w:t>
            </w:r>
            <w:r w:rsidRPr="00343607">
              <w:rPr>
                <w:rFonts w:ascii="Times New Roman" w:hAnsi="Times New Roman" w:cs="Times New Roman"/>
                <w:bCs/>
                <w:sz w:val="26"/>
                <w:szCs w:val="26"/>
              </w:rPr>
              <w:lastRenderedPageBreak/>
              <w:t>thương mại, bệnh viện, công trình công cộng khác đang khai thác thuộc danh mục vị trí đủ điều kiện lắp đặt trạm tiếp năng lượng sạch công cộng: đến trước ngày 01 tháng 01 năm 2030 phải đạt tỷ lệ tối thiểu 15% chỗ đỗ xe hiện hữu có lắp đặt trạm tiếp năng lượng sạch công cộng.</w:t>
            </w:r>
          </w:p>
          <w:p w14:paraId="64EC7602"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b) Đối với công trình đầu tư mới bao gồm kết cấu hạ tầng đường bộ theo quy hoạch, bãi đỗ xe trong khu chung cư, tòa nhà thương mại, bệnh viện, công trình công cộng khác: tỷ lệ chỗ đỗ xe lắp đặt trạm tiếp năng lượng sạch công cộng phải đạt tối thiểu 30% chỗ đỗ xe theo quy hoạch.</w:t>
            </w:r>
          </w:p>
          <w:p w14:paraId="5E781A12" w14:textId="77777777" w:rsidR="00343607" w:rsidRPr="00343607" w:rsidRDefault="00343607" w:rsidP="00343607">
            <w:pPr>
              <w:spacing w:line="278" w:lineRule="auto"/>
              <w:ind w:left="57" w:right="57"/>
              <w:jc w:val="both"/>
              <w:rPr>
                <w:rFonts w:ascii="Times New Roman" w:hAnsi="Times New Roman" w:cs="Times New Roman"/>
                <w:bCs/>
                <w:sz w:val="26"/>
                <w:szCs w:val="26"/>
              </w:rPr>
            </w:pPr>
            <w:r w:rsidRPr="00343607">
              <w:rPr>
                <w:rFonts w:ascii="Times New Roman" w:hAnsi="Times New Roman" w:cs="Times New Roman"/>
                <w:bCs/>
                <w:sz w:val="26"/>
                <w:szCs w:val="26"/>
              </w:rPr>
              <w:t>3. Tỷ lệ trạm tiếp năng lượng sạch công cộng ngoài vành đai 3: tùy vào điều kiện thực tế, Ủy ban nhân dân Thành phố quy định chỗ đỗ xe phải lắp đặt trạm tiếp năng lượng sạch với tỷ lệ tối thiểu tương ứng với từng loại công trình không thấp hơn tỷ lệ quy định tại điểm a, điểm b khoản 2 Điều này.</w:t>
            </w:r>
          </w:p>
          <w:p w14:paraId="397B094C" w14:textId="408CFB3B" w:rsidR="002A7165" w:rsidRPr="002A7165" w:rsidRDefault="00343607" w:rsidP="00343607">
            <w:pPr>
              <w:spacing w:line="278" w:lineRule="auto"/>
              <w:ind w:left="57" w:right="57"/>
              <w:jc w:val="both"/>
              <w:rPr>
                <w:rFonts w:ascii="Times New Roman" w:hAnsi="Times New Roman" w:cs="Times New Roman"/>
                <w:sz w:val="26"/>
                <w:szCs w:val="26"/>
              </w:rPr>
            </w:pPr>
            <w:r w:rsidRPr="00343607">
              <w:rPr>
                <w:rFonts w:ascii="Times New Roman" w:hAnsi="Times New Roman" w:cs="Times New Roman"/>
                <w:bCs/>
                <w:sz w:val="26"/>
                <w:szCs w:val="26"/>
              </w:rPr>
              <w:t>4. Ủy ban nhân dân Thành phố công bố và cập nhật định kỳ 01 năm/lần bản đồ phân vùng ưu tiên đầu tư trạm tiếp năng lượng sạch.</w:t>
            </w:r>
          </w:p>
        </w:tc>
        <w:tc>
          <w:tcPr>
            <w:tcW w:w="1994" w:type="pct"/>
            <w:hideMark/>
          </w:tcPr>
          <w:p w14:paraId="40207CD4"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color w:val="000000" w:themeColor="text1"/>
                <w:sz w:val="26"/>
                <w:szCs w:val="26"/>
                <w:lang w:val="pt-BR"/>
              </w:rPr>
              <w:lastRenderedPageBreak/>
              <w:t xml:space="preserve">- </w:t>
            </w:r>
            <w:r w:rsidRPr="002A7165">
              <w:rPr>
                <w:rFonts w:ascii="Times New Roman" w:eastAsia="Yu Gothic;游ゴシック" w:hAnsi="Times New Roman" w:cs="Times New Roman"/>
                <w:color w:val="000000" w:themeColor="text1"/>
                <w:sz w:val="26"/>
                <w:szCs w:val="26"/>
              </w:rPr>
              <w:t>Chính sách phát triển hạ tầng trạm tiếp năng lượng sạch công cộng tại Hà Nội mang lại nhiều lợi ích đáng kể cho các đối tượng liên quan.</w:t>
            </w:r>
          </w:p>
          <w:p w14:paraId="3961B126"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b/>
                <w:bCs/>
                <w:color w:val="000000" w:themeColor="text1"/>
                <w:sz w:val="26"/>
                <w:szCs w:val="26"/>
              </w:rPr>
              <w:t>- Đối với chủ sở hữu phương tiện sử dụng năng lượng sạch</w:t>
            </w:r>
            <w:r w:rsidRPr="002A7165">
              <w:rPr>
                <w:rFonts w:ascii="Times New Roman" w:eastAsia="Yu Gothic;游ゴシック" w:hAnsi="Times New Roman" w:cs="Times New Roman"/>
                <w:color w:val="000000" w:themeColor="text1"/>
                <w:sz w:val="26"/>
                <w:szCs w:val="26"/>
              </w:rPr>
              <w:t>, mạng lưới trạm sạc, trạm đổi pin và các điểm tiếp năng lượng thuận tiện giúp người dân yên tâm sử dụng phương tiện xanh, giảm lo ngại thiếu trạm tiếp năng lượng, đồng thời chi phí vận hành có thể giảm nhờ cạnh tranh giữa các nhà cung cấp.</w:t>
            </w:r>
          </w:p>
          <w:p w14:paraId="73D5DA5D"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b/>
                <w:bCs/>
                <w:color w:val="000000" w:themeColor="text1"/>
                <w:sz w:val="26"/>
                <w:szCs w:val="26"/>
              </w:rPr>
              <w:t>- Đối với nhà đầu tư xây dựng và vận hành trạm</w:t>
            </w:r>
            <w:r w:rsidRPr="002A7165">
              <w:rPr>
                <w:rFonts w:ascii="Times New Roman" w:eastAsia="Yu Gothic;游ゴシック" w:hAnsi="Times New Roman" w:cs="Times New Roman"/>
                <w:color w:val="000000" w:themeColor="text1"/>
                <w:sz w:val="26"/>
                <w:szCs w:val="26"/>
              </w:rPr>
              <w:t xml:space="preserve">, chính sách tạo điều kiện thu hút đầu tư, </w:t>
            </w:r>
            <w:r w:rsidRPr="002A7165">
              <w:rPr>
                <w:rFonts w:ascii="Times New Roman" w:eastAsia="Yu Gothic;游ゴシック" w:hAnsi="Times New Roman" w:cs="Times New Roman"/>
                <w:color w:val="000000" w:themeColor="text1"/>
                <w:sz w:val="26"/>
                <w:szCs w:val="26"/>
              </w:rPr>
              <w:lastRenderedPageBreak/>
              <w:t>hưởng ưu đãi về quy hoạch, sử dụng đất và kỳ vọng sinh lời từ sự phát triển của phương tiện xanh, mở rộng thị trường hạ tầng giao thông sạch.</w:t>
            </w:r>
          </w:p>
          <w:p w14:paraId="6E2720A3"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b/>
                <w:bCs/>
                <w:color w:val="000000" w:themeColor="text1"/>
                <w:sz w:val="26"/>
                <w:szCs w:val="26"/>
              </w:rPr>
              <w:t>- Đối với cơ quan quản lý nhà nước</w:t>
            </w:r>
            <w:r w:rsidRPr="002A7165">
              <w:rPr>
                <w:rFonts w:ascii="Times New Roman" w:eastAsia="Yu Gothic;游ゴシック" w:hAnsi="Times New Roman" w:cs="Times New Roman"/>
                <w:color w:val="000000" w:themeColor="text1"/>
                <w:sz w:val="26"/>
                <w:szCs w:val="26"/>
              </w:rPr>
              <w:t>, chính sách cung cấp công cụ tích hợp trạm tiếp năng lượng sạch vào quy hoạch đô thị, thúc đẩy phát triển đô thị xanh, hiện đại và bền vững.</w:t>
            </w:r>
          </w:p>
          <w:p w14:paraId="6E1BFAFB"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b/>
                <w:bCs/>
                <w:color w:val="000000" w:themeColor="text1"/>
                <w:sz w:val="26"/>
                <w:szCs w:val="26"/>
              </w:rPr>
              <w:t>- Người dân sử dụng bến bãi, công trình công cộng và khu dân cư</w:t>
            </w:r>
            <w:r w:rsidRPr="002A7165">
              <w:rPr>
                <w:rFonts w:ascii="Times New Roman" w:eastAsia="Yu Gothic;游ゴシック" w:hAnsi="Times New Roman" w:cs="Times New Roman"/>
                <w:color w:val="000000" w:themeColor="text1"/>
                <w:sz w:val="26"/>
                <w:szCs w:val="26"/>
              </w:rPr>
              <w:t xml:space="preserve"> được hưởng tiện ích gia tăng khi trạm tiếp năng lượng tích hợp tại các điểm đỗ xe và khu dân cư, nâng cao chất lượng cuộc sống và khuyến khích chuyển đổi sang phương tiện xanh. Dự kiến khu vực vành đai 3 sẽ bố trí khoảng 1.550 trạm, mật độ trung bình 200–300 m mỗi trạm, giúp người dân dễ dàng tiếp cận. </w:t>
            </w:r>
          </w:p>
          <w:p w14:paraId="4278736F" w14:textId="77777777" w:rsidR="002A7165" w:rsidRPr="002A7165" w:rsidRDefault="002A7165" w:rsidP="006A017E">
            <w:pPr>
              <w:spacing w:line="276" w:lineRule="auto"/>
              <w:ind w:left="57" w:right="57"/>
              <w:jc w:val="both"/>
              <w:rPr>
                <w:rFonts w:ascii="Times New Roman" w:eastAsia="Yu Gothic;游ゴシック" w:hAnsi="Times New Roman" w:cs="Times New Roman"/>
                <w:color w:val="000000" w:themeColor="text1"/>
                <w:sz w:val="26"/>
                <w:szCs w:val="26"/>
              </w:rPr>
            </w:pPr>
            <w:r w:rsidRPr="002A7165">
              <w:rPr>
                <w:rFonts w:ascii="Times New Roman" w:eastAsia="Yu Gothic;游ゴシック" w:hAnsi="Times New Roman" w:cs="Times New Roman"/>
                <w:b/>
                <w:bCs/>
                <w:color w:val="000000" w:themeColor="text1"/>
                <w:sz w:val="26"/>
                <w:szCs w:val="26"/>
              </w:rPr>
              <w:t>- Đối với doanh nghiệp vận tải</w:t>
            </w:r>
            <w:r w:rsidRPr="002A7165">
              <w:rPr>
                <w:rFonts w:ascii="Times New Roman" w:eastAsia="Yu Gothic;游ゴシック" w:hAnsi="Times New Roman" w:cs="Times New Roman"/>
                <w:color w:val="000000" w:themeColor="text1"/>
                <w:sz w:val="26"/>
                <w:szCs w:val="26"/>
              </w:rPr>
              <w:t>, hạ tầng phát triển giúp chuyển đổi đội xe sang phương tiện xanh, giảm chi phí vận hành dài hạn và nâng cao hình ảnh thương hiệu thân thiện môi trường.</w:t>
            </w:r>
          </w:p>
          <w:p w14:paraId="21F133BB" w14:textId="77777777" w:rsidR="002A7165" w:rsidRPr="002A7165" w:rsidRDefault="002A7165" w:rsidP="006A017E">
            <w:pPr>
              <w:spacing w:line="276" w:lineRule="auto"/>
              <w:ind w:left="57" w:right="57"/>
              <w:jc w:val="both"/>
              <w:rPr>
                <w:rFonts w:ascii="Times New Roman" w:eastAsia="Yu Gothic;游ゴシック" w:hAnsi="Times New Roman" w:cs="Times New Roman"/>
                <w:b/>
                <w:bCs/>
                <w:color w:val="000000" w:themeColor="text1"/>
                <w:sz w:val="26"/>
                <w:szCs w:val="26"/>
              </w:rPr>
            </w:pPr>
            <w:r w:rsidRPr="002A7165">
              <w:rPr>
                <w:rFonts w:ascii="Times New Roman" w:eastAsia="Yu Gothic;游ゴシック" w:hAnsi="Times New Roman" w:cs="Times New Roman"/>
                <w:color w:val="000000" w:themeColor="text1"/>
                <w:sz w:val="26"/>
                <w:szCs w:val="26"/>
              </w:rPr>
              <w:t xml:space="preserve">- Như vậy, việc mở rộng hạ tầng trạm tiếp năng lượng sạch là </w:t>
            </w:r>
            <w:r w:rsidRPr="002A7165">
              <w:rPr>
                <w:rFonts w:ascii="Times New Roman" w:eastAsia="Yu Gothic;游ゴシック" w:hAnsi="Times New Roman" w:cs="Times New Roman"/>
                <w:b/>
                <w:bCs/>
                <w:color w:val="000000" w:themeColor="text1"/>
                <w:sz w:val="26"/>
                <w:szCs w:val="26"/>
              </w:rPr>
              <w:t>yếu tố then chốt thúc đẩy chuyển đổi phương tiện xanh, giảm phát thải, nâng cao chất lượng cuộc sống và tạo động lực phát triển bền vững cho các doanh nghiệp và thành phố.</w:t>
            </w:r>
          </w:p>
          <w:p w14:paraId="334B1080" w14:textId="77777777" w:rsidR="0054365A" w:rsidRPr="0054365A" w:rsidRDefault="0054365A" w:rsidP="0054365A">
            <w:pPr>
              <w:spacing w:line="278" w:lineRule="auto"/>
              <w:ind w:left="57" w:right="57"/>
              <w:jc w:val="both"/>
              <w:rPr>
                <w:rFonts w:ascii="Times New Roman" w:eastAsia="Yu Gothic;游ゴシック" w:hAnsi="Times New Roman" w:cs="Times New Roman"/>
                <w:color w:val="000000" w:themeColor="text1"/>
                <w:sz w:val="26"/>
                <w:szCs w:val="26"/>
                <w:lang w:val="en-US"/>
              </w:rPr>
            </w:pPr>
            <w:r w:rsidRPr="0054365A">
              <w:rPr>
                <w:rFonts w:ascii="Times New Roman" w:eastAsia="Yu Gothic;游ゴシック" w:hAnsi="Times New Roman" w:cs="Times New Roman"/>
                <w:color w:val="000000" w:themeColor="text1"/>
                <w:sz w:val="26"/>
                <w:szCs w:val="26"/>
                <w:lang w:val="en-US"/>
              </w:rPr>
              <w:t xml:space="preserve">Các đề xuất về tỷ lệ trạm tiếp năng lượng sạch công cộng trong vành đai 3 đối với các công trình hiện hữu đang khai thác đề xuất tối thiểu là 15% </w:t>
            </w:r>
            <w:r w:rsidRPr="0054365A">
              <w:rPr>
                <w:rFonts w:ascii="Times New Roman" w:eastAsia="Yu Gothic;游ゴシック" w:hAnsi="Times New Roman" w:cs="Times New Roman"/>
                <w:color w:val="000000" w:themeColor="text1"/>
                <w:sz w:val="26"/>
                <w:szCs w:val="26"/>
                <w:lang w:val="en-US"/>
              </w:rPr>
              <w:lastRenderedPageBreak/>
              <w:t>(đến trước ngày 01/01/2030), công trình xây dựng mới tối thiểu là 30% trên cơ sở vận dụng tỷ lệ chỗ đỗ xe có lắp đặt trụ sạc trong dự thảo QCVN 07-11:2025/BXD. Ngoài ra cũng đã tham khảo quy định của Trung Quốc áp dụng tại các đô thị lớn như Bắc Kinh và Thượng Hải, với mức tối thiểu từ 10–20% đối với công trình cũ, và từ 30% trở lên với công trình mới.</w:t>
            </w:r>
          </w:p>
          <w:p w14:paraId="3D5A4E92" w14:textId="61C4BF29" w:rsidR="000165D6" w:rsidRPr="000165D6" w:rsidRDefault="0054365A" w:rsidP="0054365A">
            <w:pPr>
              <w:spacing w:line="278" w:lineRule="auto"/>
              <w:ind w:left="57" w:right="57"/>
              <w:jc w:val="both"/>
              <w:rPr>
                <w:rFonts w:ascii="Times New Roman" w:hAnsi="Times New Roman" w:cs="Times New Roman"/>
                <w:sz w:val="26"/>
                <w:szCs w:val="26"/>
                <w:lang w:val="en-US"/>
              </w:rPr>
            </w:pPr>
            <w:r w:rsidRPr="0054365A">
              <w:rPr>
                <w:rFonts w:ascii="Times New Roman" w:eastAsia="Yu Gothic;游ゴシック" w:hAnsi="Times New Roman" w:cs="Times New Roman"/>
                <w:color w:val="000000" w:themeColor="text1"/>
                <w:sz w:val="26"/>
                <w:szCs w:val="26"/>
                <w:lang w:val="en-US"/>
              </w:rPr>
              <w:t>Đối với khu vực ngoài vành đai 3 sẽ giao UBND Thành phố căn cứ điều kiện thực tế, chủ động quy định tỷ lệ này nhưng phải đảm bảo tỷ lệ trạm tiếp năng lượng sạch công cộng không thấp hơn tỷ lệ quy định tại điểm a, điểm b khoản 2 Điều này.</w:t>
            </w:r>
          </w:p>
        </w:tc>
      </w:tr>
      <w:tr w:rsidR="002A7165" w:rsidRPr="002A7165" w14:paraId="4AE9CD46" w14:textId="77777777" w:rsidTr="002A7165">
        <w:tc>
          <w:tcPr>
            <w:tcW w:w="185" w:type="pct"/>
            <w:hideMark/>
          </w:tcPr>
          <w:p w14:paraId="2891D1A7"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9</w:t>
            </w:r>
          </w:p>
        </w:tc>
        <w:tc>
          <w:tcPr>
            <w:tcW w:w="562" w:type="pct"/>
            <w:hideMark/>
          </w:tcPr>
          <w:p w14:paraId="7D24BBF8"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Chính sách hỗ trợ đầu tư phát triển hệ thống trạm tiếp năng lượng sạch công cộng, giao thông phi cơ giới</w:t>
            </w:r>
          </w:p>
        </w:tc>
        <w:tc>
          <w:tcPr>
            <w:tcW w:w="2259" w:type="pct"/>
            <w:hideMark/>
          </w:tcPr>
          <w:p w14:paraId="054C242A"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9. Chính sách hỗ trợ đầu tư phát triển hệ thống trạm tiếp năng lượng sạch công cộng, giao thông phi cơ giới</w:t>
            </w:r>
            <w:r w:rsidRPr="002A7165">
              <w:rPr>
                <w:rFonts w:ascii="Times New Roman" w:hAnsi="Times New Roman" w:cs="Times New Roman"/>
                <w:sz w:val="26"/>
                <w:szCs w:val="26"/>
              </w:rPr>
              <w:t xml:space="preserve"> </w:t>
            </w:r>
          </w:p>
          <w:p w14:paraId="0E50EEDB"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1. Ngân sách Thành phố hỗ trợ 30% tiền lãi vay ngân hàng thương mại với toàn bộ giá trị hợp đồng vay được thực hiện trong thời gian vay vốn (thời gian hỗ trợ tối đa không quá 05 năm) hoặc cho vay từ Quỹ Đầu tư phát triển thành phố Hà Nội và Quỹ Bảo vệ môi trường Hà Nội theo các quy định hiện hành đối với các doanh nghiệp đầu tư xây dựng hạ tầng trạm tiếp năng lượng sạch công cộng, đầu tư hạ tầng kỹ thuật phục vụ giao thông phi cơ giới.</w:t>
            </w:r>
          </w:p>
          <w:p w14:paraId="51E80500"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 xml:space="preserve">2. Ngân sách Thành phố hỗ trợ 100% tiền thuê đất trong 05 năm đầu đối với dự án đầu tư trạm tiếp năng lượng </w:t>
            </w:r>
            <w:r w:rsidRPr="00FD1A71">
              <w:rPr>
                <w:rFonts w:ascii="Times New Roman" w:hAnsi="Times New Roman" w:cs="Times New Roman"/>
                <w:bCs/>
                <w:sz w:val="26"/>
                <w:szCs w:val="26"/>
              </w:rPr>
              <w:lastRenderedPageBreak/>
              <w:t>sạch công cộng nằm trong danh mục đã được Ủy ban nhân nhân Thành phố phê duyệt và dự án đầu tư hạ tầng kỹ thuật phục vụ giao thông phi cơ giới.</w:t>
            </w:r>
          </w:p>
          <w:p w14:paraId="4D14A8BE"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3. Dự án đầu tư xây dựng hệ thống trạm tiếp năng lượng sạch công cộng và dự án đầu tư hạ tầng kỹ thuật phục vụ giao thông phi cơ giới được thực hiện ngay việc lập, thẩm định, quyết định đầu tư dự án mà không phải thực hiện thủ tục lập, thẩm định, quyết định chủ trương đầu tư và các thủ tục khác có liên quan đến quyết định chủ trương đầu tư theo quy định của pháp luật có liên quan.</w:t>
            </w:r>
          </w:p>
          <w:p w14:paraId="26F9F5AC" w14:textId="2C9A4F66" w:rsidR="002A7165" w:rsidRPr="002A7165" w:rsidRDefault="00FD1A71" w:rsidP="00FD1A71">
            <w:pPr>
              <w:spacing w:line="278" w:lineRule="auto"/>
              <w:ind w:left="57" w:right="57"/>
              <w:jc w:val="both"/>
              <w:rPr>
                <w:rFonts w:ascii="Times New Roman" w:hAnsi="Times New Roman" w:cs="Times New Roman"/>
                <w:sz w:val="26"/>
                <w:szCs w:val="26"/>
              </w:rPr>
            </w:pPr>
            <w:r w:rsidRPr="00FD1A71">
              <w:rPr>
                <w:rFonts w:ascii="Times New Roman" w:hAnsi="Times New Roman" w:cs="Times New Roman"/>
                <w:bCs/>
                <w:sz w:val="26"/>
                <w:szCs w:val="26"/>
              </w:rPr>
              <w:t>4. Ủy ban nhân dân Thành phố được áp dụng cơ chế cho thuê đất công (không giao đất), được sử dụng đất kết hợp đa mục đích hoặc sử dụng một phần diện tích đất công cộng, đất giao thông, đất cây xanh để phát triển hạ tầng trạm tiếp năng lượng sạch công cộng, hạ tầng kỹ thuật phục vụ giao thông phi cơ giới.</w:t>
            </w:r>
          </w:p>
        </w:tc>
        <w:tc>
          <w:tcPr>
            <w:tcW w:w="1994" w:type="pct"/>
            <w:hideMark/>
          </w:tcPr>
          <w:p w14:paraId="5E5280F4" w14:textId="5E03A1FB" w:rsid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xml:space="preserve">- Việc phát triển hạ tầng trạm sạc và trạm </w:t>
            </w:r>
            <w:r w:rsidR="00FD1A71">
              <w:rPr>
                <w:rFonts w:ascii="Times New Roman" w:hAnsi="Times New Roman" w:cs="Times New Roman"/>
                <w:sz w:val="26"/>
                <w:szCs w:val="26"/>
                <w:lang w:val="en-US"/>
              </w:rPr>
              <w:t>tiếp</w:t>
            </w:r>
            <w:r w:rsidRPr="002A7165">
              <w:rPr>
                <w:rFonts w:ascii="Times New Roman" w:hAnsi="Times New Roman" w:cs="Times New Roman"/>
                <w:sz w:val="26"/>
                <w:szCs w:val="26"/>
              </w:rPr>
              <w:t xml:space="preserve"> năng lượng sạch tại Hà Nội không chỉ mở ra cơ hội đầu tư mới cho doanh nghiệp tư nhân mà còn giảm gánh nặng ngân sách nhà nước thông qua cơ chế hợp tác công – tư (PPP). Các nhà đầu tư được hưởng ưu đãi về thuế, đất đai và tài chính, tăng tính hấp dẫn dự án để thu hút vốn trong nước và nước ngoài. Đồng thời, lĩnh vực này yêu cầu vốn lớn, công nghệ cao, thời gian hoàn vốn dài và tuân thủ các tiêu chuẩn kỹ thuật, môi trường nghiêm ngặt. Với cơ quan quản lý, huy động nguồn lực xã hội hóa giúp thúc đẩy hạ tầng xanh, đồng thời cần tăng cường năng lực quy hoạch, kiểm soát chất lượng và vận hành. </w:t>
            </w:r>
          </w:p>
          <w:p w14:paraId="5BAD5F05" w14:textId="77777777" w:rsid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sz w:val="26"/>
                <w:szCs w:val="26"/>
              </w:rPr>
              <w:lastRenderedPageBreak/>
              <w:t>- Kinh nghiệm quốc tế cho thấy vai trò chủ đạo của chính quyền trong quy hoạch, đảm bảo kết nối hạ tầng và cơ chế ưu đãi là yếu tố then chốt để thu hút đầu tư. Nhiều nước như Hà Lan, Trung Quốc, Mỹ, Singapore, Hàn Quốc, Na Uy đã áp dụng các chính sách hỗ trợ đất đai, miễn giảm tiền thuê đất, tài trợ đầu tư ban đầu hoặc trợ cấp một phần chi phí lắp đặt trạm, trong đó mô hình PPP “lãnh đạo công – quản trị tư” giúp phát triển mạng lưới hạ tầng năng lượng sạch đồng bộ và minh bạch.</w:t>
            </w:r>
          </w:p>
          <w:p w14:paraId="65AAC18F" w14:textId="77777777" w:rsidR="00303941" w:rsidRDefault="00303941" w:rsidP="006A017E">
            <w:pPr>
              <w:spacing w:line="278" w:lineRule="auto"/>
              <w:ind w:left="57" w:right="57"/>
              <w:jc w:val="both"/>
              <w:rPr>
                <w:rFonts w:ascii="Times New Roman" w:hAnsi="Times New Roman" w:cs="Times New Roman"/>
                <w:sz w:val="26"/>
                <w:szCs w:val="26"/>
              </w:rPr>
            </w:pPr>
            <w:r w:rsidRPr="00303941">
              <w:rPr>
                <w:rFonts w:ascii="Times New Roman" w:hAnsi="Times New Roman" w:cs="Times New Roman"/>
                <w:sz w:val="26"/>
                <w:szCs w:val="26"/>
              </w:rPr>
              <w:t>- Chính sách hỗ trợ vốn vay ưu đãi từ ngân hàng thương mại với mức hỗ trợ 30% hoặc được vay từ Quỹ Đầu tư phát triển thành phố Hà Nội và Quỹ Bảo vệ môi trường Hà Nội, chính sách miễn tiền thuê đất trong 5 năm đầu tư nhằm thu hút các doanh nghiệp quan tâm đầu tư xây dựng hạ tầng trạm tiếp năng lượng sạch công cộng, giao thông phi cơ giới.</w:t>
            </w:r>
          </w:p>
          <w:p w14:paraId="0B26F57A" w14:textId="77777777" w:rsidR="00303941" w:rsidRDefault="00303941" w:rsidP="006A017E">
            <w:pPr>
              <w:spacing w:line="278" w:lineRule="auto"/>
              <w:ind w:left="57" w:right="57"/>
              <w:jc w:val="both"/>
              <w:rPr>
                <w:rFonts w:ascii="Times New Roman" w:hAnsi="Times New Roman" w:cs="Times New Roman"/>
                <w:sz w:val="26"/>
                <w:szCs w:val="26"/>
              </w:rPr>
            </w:pPr>
            <w:r w:rsidRPr="00303941">
              <w:rPr>
                <w:rFonts w:ascii="Times New Roman" w:hAnsi="Times New Roman" w:cs="Times New Roman"/>
                <w:sz w:val="26"/>
                <w:szCs w:val="26"/>
              </w:rPr>
              <w:t xml:space="preserve">- Dự án đầu tư xây dựng hệ thống trạm tiếp năng lượng sạch công cộng, giao thông phi cơ giới được thực hiện ngay việc lập, thẩm định, quyết định đầu tư dự án mà không phải thực hiện thủ tục lập, thẩm định, quyết định chủ trương đầu tư và các thủ tục khác có liên quan đến quyết định chủ trương đầu tư theo quy định của pháp luật có liên quan. Chính sách này đề xuất trên cơ sở vận dụng Nghị quyết số 188/2025/QH15 ngày 19/02/2025 thí điểm một </w:t>
            </w:r>
            <w:r w:rsidRPr="00303941">
              <w:rPr>
                <w:rFonts w:ascii="Times New Roman" w:hAnsi="Times New Roman" w:cs="Times New Roman"/>
                <w:sz w:val="26"/>
                <w:szCs w:val="26"/>
              </w:rPr>
              <w:lastRenderedPageBreak/>
              <w:t>số cơ chế, chính sách đặc thù, đặc biệt để phát triển hệ thống mạng lưới đường sắt đô thị tại thành phố Hà Nội, thành phố Hồ Chí Minh nhằm giảm bớt thủ tục, rút ngắn thời gian thực hiện đầu tư.</w:t>
            </w:r>
          </w:p>
          <w:p w14:paraId="1E29F6B2" w14:textId="66A0BD3E" w:rsidR="00303941" w:rsidRPr="002A7165" w:rsidRDefault="00303941" w:rsidP="006A017E">
            <w:pPr>
              <w:spacing w:line="278" w:lineRule="auto"/>
              <w:ind w:left="57" w:right="57"/>
              <w:jc w:val="both"/>
              <w:rPr>
                <w:rFonts w:ascii="Times New Roman" w:hAnsi="Times New Roman" w:cs="Times New Roman"/>
                <w:sz w:val="26"/>
                <w:szCs w:val="26"/>
              </w:rPr>
            </w:pPr>
            <w:r w:rsidRPr="00303941">
              <w:rPr>
                <w:rFonts w:ascii="Times New Roman" w:hAnsi="Times New Roman" w:cs="Times New Roman"/>
                <w:sz w:val="26"/>
                <w:szCs w:val="26"/>
              </w:rPr>
              <w:t>- Ủy ban nhân dân Thành phố được áp dụng cơ chế cho thuê đất công (không giao đất), được sử dụng đất kết hợp đa mục đích hoặc sử dụng một phần diện tích đất công cộng, đất giao thông, đất cây xanh để phát triển hạ tầng trạm tiếp năng lượng sạch công cộng, giao thông phi cơ giới. Chính sách này nhằm đa dạng các loại đất để đầu tư phát triển hạ tầng trạm tiếp năng lượng sạch công cộng, giao thông phi cơ giới trong điều kiện khó khăn về mặt bằng đặc biệt là khu vực nội đô.</w:t>
            </w:r>
          </w:p>
        </w:tc>
      </w:tr>
      <w:tr w:rsidR="002A7165" w:rsidRPr="002A7165" w14:paraId="50E33343" w14:textId="77777777" w:rsidTr="002A7165">
        <w:tc>
          <w:tcPr>
            <w:tcW w:w="185" w:type="pct"/>
            <w:hideMark/>
          </w:tcPr>
          <w:p w14:paraId="0674E2A1"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10</w:t>
            </w:r>
          </w:p>
        </w:tc>
        <w:tc>
          <w:tcPr>
            <w:tcW w:w="562" w:type="pct"/>
            <w:hideMark/>
          </w:tcPr>
          <w:p w14:paraId="4D26F90E"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Tổ chức thực hiện</w:t>
            </w:r>
          </w:p>
        </w:tc>
        <w:tc>
          <w:tcPr>
            <w:tcW w:w="2259" w:type="pct"/>
            <w:hideMark/>
          </w:tcPr>
          <w:p w14:paraId="6B2D5B4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10. Tổ chức thực hiện</w:t>
            </w:r>
            <w:r w:rsidRPr="002A7165">
              <w:rPr>
                <w:rFonts w:ascii="Times New Roman" w:hAnsi="Times New Roman" w:cs="Times New Roman"/>
                <w:sz w:val="26"/>
                <w:szCs w:val="26"/>
              </w:rPr>
              <w:t xml:space="preserve"> </w:t>
            </w:r>
          </w:p>
          <w:p w14:paraId="040D5D00"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1. Ủy ban nhân dân Thành phố có trách nhiệm sau đây:</w:t>
            </w:r>
          </w:p>
          <w:p w14:paraId="0FB56986"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a) Xây dựng Kế hoạch, Đề án thực hiện, giao nhiệm vụ cho các Sở, ngành, đơn vị nhằm triển khai chi tiết (điều kiện, trình tự thủ tục) các chính sách hỗ trợ tài chính; chính sách thuế, phí, giá dịch vụ; hạn chế sử dụng, thu phí lưu thông phương tiện giao thông phát thải gây ô nhiễm môi trường; hỗ trợ đầu tư phát triển hệ thống trạm tiếp năng lượng sạch công cộng.</w:t>
            </w:r>
          </w:p>
          <w:p w14:paraId="3D9DE6B6"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 xml:space="preserve">b) Hàng năm trình Hội đồng nhân dân Thành phố quyết định bố trí nguồn vốn linh hoạt để thực hiện công tác chuẩn bị đầu tư, thực hiện đầu tư các dự án đầu tư lắp đặt trạm tiếp năng lượng sạch công cộng, dự án giao thông </w:t>
            </w:r>
            <w:r w:rsidRPr="00FD1A71">
              <w:rPr>
                <w:rFonts w:ascii="Times New Roman" w:hAnsi="Times New Roman" w:cs="Times New Roman"/>
                <w:bCs/>
                <w:sz w:val="26"/>
                <w:szCs w:val="26"/>
              </w:rPr>
              <w:lastRenderedPageBreak/>
              <w:t>phi cơ giới.</w:t>
            </w:r>
          </w:p>
          <w:p w14:paraId="6DA8B453"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c) Quy định trách nhiệm của Ủy ban nhân dân cấp xã trong việc quản lý hành chính đối với các vị trí đã được công bố đủ điều kiện lắp đặt trạm tiếp năng lượng sạch công cộng trên địa bàn; phối hợp với các cơ quan chức năng trong công tác quản lý, bảo đảm trật tự, an toàn tại khu vực. Cơ quan công an có trách nhiệm hướng dẫn, kiểm tra, giám sát việc thực hiện các quy định về phòng cháy, chữa cháy và an toàn cháy, nổ đối với hoạt động lắp đặt và vận hành trạm tiếp năng lượng sạch công cộng theo quy định của pháp luật.</w:t>
            </w:r>
          </w:p>
          <w:p w14:paraId="7C1AB6AE"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d) Đẩy mạnh thực hiện quy hoạch hệ thống bến, bãi đỗ xe; ưu tiên bố trí vốn và quỹ đất sớm triển khai các bãi đỗ xe công cộng theo quy hoạch, nhất là tại khu vực trung tâm và các cửa ngõ, bảo đảm sẵn sàng hạ tầng kỹ thuật để lắp đặt trạm tiếp năng lượng sạch công cộng theo lộ trình.</w:t>
            </w:r>
          </w:p>
          <w:p w14:paraId="27DF2C05"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đ) Tổ chức thực hiện rà soát định kỳ 06 tháng/lần, đánh giá việc phát triển hệ thống trạm tiếp năng lượng sạch công cộng đảm bảo đáp ứng phù hợp với lượng phương tiện giao thông xanh được chuyển đổi trên địa bàn Thành phố, báo cáo Hội đồng nhân dân Thành phố tại các kỳ họp thường lệ.</w:t>
            </w:r>
          </w:p>
          <w:p w14:paraId="37A88A91"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 xml:space="preserve">e) Nghiên cứu, đề xuất các giải pháp nâng cấp, cải tạo và bảo đảm năng lực hạ tầng lưới điện, đáp ứng yêu cầu cấp điện ổn định, an toàn cho hệ thống trạm tiếp năng lượng sạch công cộng; hướng dẫn các yêu cầu về an toàn điện </w:t>
            </w:r>
            <w:r w:rsidRPr="00FD1A71">
              <w:rPr>
                <w:rFonts w:ascii="Times New Roman" w:hAnsi="Times New Roman" w:cs="Times New Roman"/>
                <w:bCs/>
                <w:sz w:val="26"/>
                <w:szCs w:val="26"/>
              </w:rPr>
              <w:lastRenderedPageBreak/>
              <w:t>đối với việc lắp đặt, vận hành trạm tiếp năng lượng sạch công cộng.</w:t>
            </w:r>
          </w:p>
          <w:p w14:paraId="57D8B2D8"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g) Tổ chức hướng dẫn, thẩm duyệt và kiểm tra việc thực hiện các quy định về phòng cháy chữa cháy đối với hoạt động đầu tư xây dựng và vận hành trạm tiếp năng lượng sạch công cộng.</w:t>
            </w:r>
          </w:p>
          <w:p w14:paraId="2F51DDF7"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h) Báo cáo Hội đồng nhân dân Thành phố định kỳ hàng năm về kết quả thực hiện Nghị quyết. Trong quá trình thực hiện Nghị quyết, nếu phát sinh khó khăn vướng mắc cần sửa đổi, bổ sung, thay thế, Ủy ban nhân dân Thành phố kịp thời tổng hợp, báo cáo Hội đồng nhân dân Thành phố để xem xét, giải quyết theo thẩm quyền.</w:t>
            </w:r>
          </w:p>
          <w:p w14:paraId="72BD09DF"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i) Xây dựng, công bố bản đồ số hóa (GIS) tích hợp vị trí các trạm tiếp năng lượng sạch công cộng hiện có và theo quy hoạch; kết nối, chia sẻ với các cơ sở dữ liệu liên quan và Trung tâm điều hành đô thị thông minh của Thành phố, phục vụ quản lý và nhu cầu của người dân. Ủy ban nhân dân Thành phố chỉ đạo xây dựng nền tảng phần mềm quản lý tập trung, tích hợp dữ liệu và nghiên cứu triển khai các phương thức thanh toán liên thông giữa các dịch vụ giao thông đô thị.</w:t>
            </w:r>
          </w:p>
          <w:p w14:paraId="5930923E"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 xml:space="preserve">k) Ủy ban nhân dân Thành phố chỉ đạo việc xác nhận điều kiện cư trú của cá nhân để hưởng các chính sách hỗ trợ theo Nghị quyết này trên cơ sở khai thác, sử dụng dữ liệu trong Cơ sở dữ liệu quốc gia về dân cư và các cơ sở dữ liệu có liên quan đã được số hóa theo quy định của pháp luật, bảo đảm chính xác, kịp thời, không yêu cầu </w:t>
            </w:r>
            <w:r w:rsidRPr="00FD1A71">
              <w:rPr>
                <w:rFonts w:ascii="Times New Roman" w:hAnsi="Times New Roman" w:cs="Times New Roman"/>
                <w:bCs/>
                <w:sz w:val="26"/>
                <w:szCs w:val="26"/>
              </w:rPr>
              <w:lastRenderedPageBreak/>
              <w:t>người dân cung cấp lại thông tin đã có trong hệ thống. Đồng thời, chỉ đạo cơ quan chuyên môn chủ trì, phối hợp với các cơ quan, đơn vị liên quan xây dựng, vận hành hệ thống phần mềm hoặc ứng dụng trực tuyến để tiếp nhận, xử lý hồ sơ đề nghị hưởng chính sách hỗ trợ; bảo đảm công khai, minh bạch, thuận tiện cho người dân, giảm tải áp lực hành chính cho Ủy ban nhân dân cấp xã và tích hợp, kết nối với các cơ sở dữ liệu có liên quan. Ủy ban nhân dân Thành phố hướng dẫn cụ thể quy trình thực hiện, xác định cơ quan đầu mối tiếp nhận, giải quyết hồ sơ và ưu tiên áp dụng phương thức xác thực điện tử thông qua các nền tảng số dùng chung.</w:t>
            </w:r>
          </w:p>
          <w:p w14:paraId="37673375"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n) Huy động nguồn lực xã hội tham gia đầu tư bãi đỗ xe, bến xe, trạm tiếp năng lượng sạch công cộng, phương tiện cho thuê phục vụ mục đích giao thông công cộng đô thị cùng các hạng mục hạ tầng liên quan, nhằm đáp ứng yêu cầu chuyển đổi giao thông xanh.</w:t>
            </w:r>
          </w:p>
          <w:p w14:paraId="0D2DEEAB"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2. Giao Thường trực Hội đồng nhân dân Thành phố, các Ban của Hội đồng nhân dân Thành phố, các Tổ đại biểu và đại biểu Hội đồng nhân dân Thành phố có trách nhiệm giám sát quá trình tổ chức thực hiện Nghị quyết.</w:t>
            </w:r>
          </w:p>
          <w:p w14:paraId="26A458A3" w14:textId="3629BD76" w:rsidR="002A7165" w:rsidRPr="002A7165" w:rsidRDefault="00FD1A71" w:rsidP="00FD1A71">
            <w:pPr>
              <w:spacing w:line="278" w:lineRule="auto"/>
              <w:ind w:left="57" w:right="57"/>
              <w:jc w:val="both"/>
              <w:rPr>
                <w:rFonts w:ascii="Times New Roman" w:hAnsi="Times New Roman" w:cs="Times New Roman"/>
                <w:sz w:val="26"/>
                <w:szCs w:val="26"/>
              </w:rPr>
            </w:pPr>
            <w:r w:rsidRPr="00FD1A71">
              <w:rPr>
                <w:rFonts w:ascii="Times New Roman" w:hAnsi="Times New Roman" w:cs="Times New Roman"/>
                <w:bCs/>
                <w:sz w:val="26"/>
                <w:szCs w:val="26"/>
              </w:rPr>
              <w:t>3. Đề nghị Ủy ban Mặt trận Tổ quốc Việt Nam các cấp Thành phố, các tổ chức chính trị xã hội tuyên truyền, vận động và giám sát việc thực hiện Nghị quyết.</w:t>
            </w:r>
          </w:p>
        </w:tc>
        <w:tc>
          <w:tcPr>
            <w:tcW w:w="1994" w:type="pct"/>
            <w:hideMark/>
          </w:tcPr>
          <w:p w14:paraId="1AA145A9" w14:textId="77777777" w:rsidR="002A7165" w:rsidRDefault="00FD1A71" w:rsidP="006A017E">
            <w:pPr>
              <w:spacing w:line="278" w:lineRule="auto"/>
              <w:ind w:left="57" w:right="57"/>
              <w:jc w:val="both"/>
              <w:rPr>
                <w:rFonts w:ascii="Times New Roman" w:hAnsi="Times New Roman" w:cs="Times New Roman"/>
                <w:sz w:val="26"/>
                <w:szCs w:val="26"/>
                <w:lang w:val="en-US"/>
              </w:rPr>
            </w:pPr>
            <w:r>
              <w:rPr>
                <w:rFonts w:ascii="Times New Roman" w:hAnsi="Times New Roman" w:cs="Times New Roman"/>
                <w:sz w:val="26"/>
                <w:szCs w:val="26"/>
                <w:lang w:val="en-US"/>
              </w:rPr>
              <w:lastRenderedPageBreak/>
              <w:t xml:space="preserve">Giao trách nhiệm tổ chức thực hiện Nghị quyết cho UBND Thành phố; trách nhiệm giám sát quá trình tổ chức thực hiện Nghị quyết của </w:t>
            </w:r>
            <w:r w:rsidRPr="00FD1A71">
              <w:rPr>
                <w:rFonts w:ascii="Times New Roman" w:hAnsi="Times New Roman" w:cs="Times New Roman"/>
                <w:sz w:val="26"/>
                <w:szCs w:val="26"/>
                <w:lang w:val="en-US"/>
              </w:rPr>
              <w:t>Thường trực Hội đồng nhân dân Thành phố, các Ban của Hội đồng nhân dân Thành phố, các Tổ đại biểu và đại biểu Hội đồng nhân dân Thành phố</w:t>
            </w:r>
          </w:p>
          <w:p w14:paraId="09E92954" w14:textId="566C41A9" w:rsidR="00FD1A71" w:rsidRPr="00FD1A71" w:rsidRDefault="00FD1A71" w:rsidP="006A017E">
            <w:pPr>
              <w:spacing w:line="278" w:lineRule="auto"/>
              <w:ind w:left="57" w:right="57"/>
              <w:jc w:val="both"/>
              <w:rPr>
                <w:rFonts w:ascii="Times New Roman" w:hAnsi="Times New Roman" w:cs="Times New Roman"/>
                <w:sz w:val="26"/>
                <w:szCs w:val="26"/>
                <w:lang w:val="en-US"/>
              </w:rPr>
            </w:pPr>
            <w:r w:rsidRPr="00FD1A71">
              <w:rPr>
                <w:rFonts w:ascii="Times New Roman" w:hAnsi="Times New Roman" w:cs="Times New Roman"/>
                <w:sz w:val="26"/>
                <w:szCs w:val="26"/>
                <w:lang w:val="en-US"/>
              </w:rPr>
              <w:t>Ủy ban Mặt trận Tổ quốc Việt Nam các cấp Thành phố, các tổ chức chính trị xã hội tuyên truyền, vận động và giám sát việc thực hiện Nghị quyết.</w:t>
            </w:r>
          </w:p>
        </w:tc>
      </w:tr>
      <w:tr w:rsidR="002A7165" w:rsidRPr="002A7165" w14:paraId="7B90EADB" w14:textId="77777777" w:rsidTr="002A7165">
        <w:tc>
          <w:tcPr>
            <w:tcW w:w="185" w:type="pct"/>
            <w:hideMark/>
          </w:tcPr>
          <w:p w14:paraId="3732709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lastRenderedPageBreak/>
              <w:t>11</w:t>
            </w:r>
          </w:p>
        </w:tc>
        <w:tc>
          <w:tcPr>
            <w:tcW w:w="562" w:type="pct"/>
            <w:hideMark/>
          </w:tcPr>
          <w:p w14:paraId="25158C13"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khoản thi hành</w:t>
            </w:r>
          </w:p>
        </w:tc>
        <w:tc>
          <w:tcPr>
            <w:tcW w:w="2259" w:type="pct"/>
            <w:hideMark/>
          </w:tcPr>
          <w:p w14:paraId="46AB721E" w14:textId="77777777" w:rsidR="002A7165" w:rsidRPr="002A7165" w:rsidRDefault="002A7165" w:rsidP="006A017E">
            <w:pPr>
              <w:spacing w:line="278" w:lineRule="auto"/>
              <w:ind w:left="57" w:right="57"/>
              <w:jc w:val="both"/>
              <w:rPr>
                <w:rFonts w:ascii="Times New Roman" w:hAnsi="Times New Roman" w:cs="Times New Roman"/>
                <w:sz w:val="26"/>
                <w:szCs w:val="26"/>
              </w:rPr>
            </w:pPr>
            <w:r w:rsidRPr="002A7165">
              <w:rPr>
                <w:rFonts w:ascii="Times New Roman" w:hAnsi="Times New Roman" w:cs="Times New Roman"/>
                <w:b/>
                <w:bCs/>
                <w:sz w:val="26"/>
                <w:szCs w:val="26"/>
              </w:rPr>
              <w:t>Điều 11. Điều khoản thi hành</w:t>
            </w:r>
            <w:r w:rsidRPr="002A7165">
              <w:rPr>
                <w:rFonts w:ascii="Times New Roman" w:hAnsi="Times New Roman" w:cs="Times New Roman"/>
                <w:sz w:val="26"/>
                <w:szCs w:val="26"/>
              </w:rPr>
              <w:t xml:space="preserve"> </w:t>
            </w:r>
          </w:p>
          <w:p w14:paraId="5B0ABBFF"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t>1. Nghị quyết này có hiệu lực thi hành kể từ ngày 01 tháng 7 năm 2026.</w:t>
            </w:r>
          </w:p>
          <w:p w14:paraId="45DB1D39" w14:textId="77777777" w:rsidR="00FD1A71" w:rsidRPr="00FD1A71" w:rsidRDefault="00FD1A71" w:rsidP="00FD1A71">
            <w:pPr>
              <w:spacing w:line="278" w:lineRule="auto"/>
              <w:ind w:left="57" w:right="57"/>
              <w:jc w:val="both"/>
              <w:rPr>
                <w:rFonts w:ascii="Times New Roman" w:hAnsi="Times New Roman" w:cs="Times New Roman"/>
                <w:bCs/>
                <w:sz w:val="26"/>
                <w:szCs w:val="26"/>
              </w:rPr>
            </w:pPr>
            <w:r w:rsidRPr="00FD1A71">
              <w:rPr>
                <w:rFonts w:ascii="Times New Roman" w:hAnsi="Times New Roman" w:cs="Times New Roman"/>
                <w:bCs/>
                <w:sz w:val="26"/>
                <w:szCs w:val="26"/>
              </w:rPr>
              <w:lastRenderedPageBreak/>
              <w:t>2. Quy định tại Điều 4, Điều 5 được áp dụng kể từ ngày Nghị quyết này có hiệu lực đến trước ngày 01 tháng 01 năm 2030.</w:t>
            </w:r>
          </w:p>
          <w:p w14:paraId="2399E3D2" w14:textId="01FCE9A7" w:rsidR="002A7165" w:rsidRPr="002A7165" w:rsidRDefault="00FD1A71" w:rsidP="00FD1A71">
            <w:pPr>
              <w:spacing w:line="278" w:lineRule="auto"/>
              <w:ind w:left="57" w:right="57"/>
              <w:jc w:val="both"/>
              <w:rPr>
                <w:rFonts w:ascii="Times New Roman" w:hAnsi="Times New Roman" w:cs="Times New Roman"/>
                <w:sz w:val="26"/>
                <w:szCs w:val="26"/>
              </w:rPr>
            </w:pPr>
            <w:r w:rsidRPr="00FD1A71">
              <w:rPr>
                <w:rFonts w:ascii="Times New Roman" w:hAnsi="Times New Roman" w:cs="Times New Roman"/>
                <w:bCs/>
                <w:sz w:val="26"/>
                <w:szCs w:val="26"/>
              </w:rPr>
              <w:t>3. Nghị quyết này bãi bỏ điểm b, điểm c, khoản 3 Điều 2 Nghị quyết 07/2019/NQ-HĐND ngày 10 tháng 7 năm 2019 của Hội đồng nhân dân thành phố Hà Nội về việc ưu tiên phát triển hệ thống vận tải hành khách công cộng khối lượng lớn; khuyến khích đầu tư xây dựng, khai thác bến xe, bãi đỗ xe ô tô và các phương tiện cơ giới khác; áp dụng công nghệ cao trong quản lý, điều hành hệ thống giao thông vận tải.</w:t>
            </w:r>
          </w:p>
        </w:tc>
        <w:tc>
          <w:tcPr>
            <w:tcW w:w="1994" w:type="pct"/>
            <w:hideMark/>
          </w:tcPr>
          <w:p w14:paraId="61C5C7DA" w14:textId="77777777" w:rsidR="002A7165" w:rsidRPr="002A7165" w:rsidRDefault="002A7165" w:rsidP="006A017E">
            <w:pPr>
              <w:spacing w:line="278" w:lineRule="auto"/>
              <w:ind w:left="57" w:right="57"/>
              <w:jc w:val="both"/>
              <w:rPr>
                <w:rFonts w:ascii="Times New Roman" w:hAnsi="Times New Roman" w:cs="Times New Roman"/>
                <w:sz w:val="26"/>
                <w:szCs w:val="26"/>
              </w:rPr>
            </w:pPr>
          </w:p>
        </w:tc>
      </w:tr>
    </w:tbl>
    <w:p w14:paraId="2453FE71" w14:textId="77777777" w:rsidR="002A7165" w:rsidRPr="002A7165" w:rsidRDefault="002A7165" w:rsidP="003740BF">
      <w:pPr>
        <w:spacing w:line="276" w:lineRule="auto"/>
        <w:jc w:val="center"/>
        <w:rPr>
          <w:rFonts w:ascii="Times New Roman" w:eastAsia="Yu Gothic;游ゴシック" w:hAnsi="Times New Roman" w:cs="Times New Roman"/>
          <w:b/>
          <w:bCs/>
          <w:color w:val="000000" w:themeColor="text1"/>
          <w:sz w:val="26"/>
          <w:szCs w:val="26"/>
        </w:rPr>
      </w:pPr>
    </w:p>
    <w:p w14:paraId="65D0D00F" w14:textId="77777777" w:rsidR="002A7165" w:rsidRPr="002A7165" w:rsidRDefault="002A7165" w:rsidP="003740BF">
      <w:pPr>
        <w:spacing w:line="276" w:lineRule="auto"/>
        <w:jc w:val="center"/>
        <w:rPr>
          <w:rFonts w:ascii="Times New Roman" w:eastAsia="Yu Gothic;游ゴシック" w:hAnsi="Times New Roman" w:cs="Times New Roman"/>
          <w:b/>
          <w:bCs/>
          <w:color w:val="000000" w:themeColor="text1"/>
          <w:sz w:val="26"/>
          <w:szCs w:val="26"/>
        </w:rPr>
      </w:pPr>
    </w:p>
    <w:p w14:paraId="4534C9F1" w14:textId="77777777" w:rsidR="00F70D86" w:rsidRPr="005B5667" w:rsidRDefault="00F70D86" w:rsidP="003740BF">
      <w:pPr>
        <w:spacing w:line="276" w:lineRule="auto"/>
        <w:rPr>
          <w:rFonts w:ascii="Times New Roman" w:eastAsia="Yu Gothic;游ゴシック" w:hAnsi="Times New Roman" w:cs="Times New Roman"/>
          <w:color w:val="000000" w:themeColor="text1"/>
          <w:sz w:val="26"/>
          <w:szCs w:val="26"/>
        </w:rPr>
      </w:pPr>
    </w:p>
    <w:sectPr w:rsidR="00F70D86" w:rsidRPr="005B5667" w:rsidSect="00A110EA">
      <w:headerReference w:type="default" r:id="rId7"/>
      <w:pgSz w:w="15840" w:h="12240" w:orient="landscape"/>
      <w:pgMar w:top="1134" w:right="1134" w:bottom="1134" w:left="1701" w:header="56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B963B" w14:textId="77777777" w:rsidR="009B351C" w:rsidRDefault="009B351C" w:rsidP="00A110EA">
      <w:r>
        <w:separator/>
      </w:r>
    </w:p>
  </w:endnote>
  <w:endnote w:type="continuationSeparator" w:id="0">
    <w:p w14:paraId="73C2D319" w14:textId="77777777" w:rsidR="009B351C" w:rsidRDefault="009B351C" w:rsidP="00A1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ans">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Yu Gothic;游ゴシック">
    <w:panose1 w:val="00000000000000000000"/>
    <w:charset w:val="80"/>
    <w:family w:val="roman"/>
    <w:notTrueType/>
    <w:pitch w:val="default"/>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2C43" w14:textId="77777777" w:rsidR="009B351C" w:rsidRDefault="009B351C" w:rsidP="00A110EA">
      <w:r>
        <w:separator/>
      </w:r>
    </w:p>
  </w:footnote>
  <w:footnote w:type="continuationSeparator" w:id="0">
    <w:p w14:paraId="3BA4102D" w14:textId="77777777" w:rsidR="009B351C" w:rsidRDefault="009B351C" w:rsidP="00A110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408312"/>
      <w:docPartObj>
        <w:docPartGallery w:val="Page Numbers (Top of Page)"/>
        <w:docPartUnique/>
      </w:docPartObj>
    </w:sdtPr>
    <w:sdtEndPr>
      <w:rPr>
        <w:rFonts w:ascii="Times New Roman" w:hAnsi="Times New Roman" w:cs="Times New Roman"/>
        <w:noProof/>
        <w:sz w:val="28"/>
        <w:szCs w:val="28"/>
      </w:rPr>
    </w:sdtEndPr>
    <w:sdtContent>
      <w:p w14:paraId="6201B759" w14:textId="68FE95DB" w:rsidR="00A110EA" w:rsidRPr="00A110EA" w:rsidRDefault="00A110EA" w:rsidP="00A110EA">
        <w:pPr>
          <w:pStyle w:val="Header"/>
          <w:jc w:val="center"/>
          <w:rPr>
            <w:rFonts w:ascii="Times New Roman" w:hAnsi="Times New Roman" w:cs="Times New Roman"/>
            <w:sz w:val="28"/>
            <w:szCs w:val="28"/>
            <w:lang w:val="en-US"/>
          </w:rPr>
        </w:pPr>
        <w:r w:rsidRPr="00A110EA">
          <w:rPr>
            <w:rFonts w:ascii="Times New Roman" w:hAnsi="Times New Roman" w:cs="Times New Roman"/>
            <w:sz w:val="28"/>
            <w:szCs w:val="28"/>
          </w:rPr>
          <w:fldChar w:fldCharType="begin"/>
        </w:r>
        <w:r w:rsidRPr="00A110EA">
          <w:rPr>
            <w:rFonts w:ascii="Times New Roman" w:hAnsi="Times New Roman" w:cs="Times New Roman"/>
            <w:sz w:val="28"/>
            <w:szCs w:val="28"/>
          </w:rPr>
          <w:instrText xml:space="preserve"> PAGE   \* MERGEFORMAT </w:instrText>
        </w:r>
        <w:r w:rsidRPr="00A110EA">
          <w:rPr>
            <w:rFonts w:ascii="Times New Roman" w:hAnsi="Times New Roman" w:cs="Times New Roman"/>
            <w:sz w:val="28"/>
            <w:szCs w:val="28"/>
          </w:rPr>
          <w:fldChar w:fldCharType="separate"/>
        </w:r>
        <w:r w:rsidR="0079510F">
          <w:rPr>
            <w:rFonts w:ascii="Times New Roman" w:hAnsi="Times New Roman" w:cs="Times New Roman"/>
            <w:noProof/>
            <w:sz w:val="28"/>
            <w:szCs w:val="28"/>
          </w:rPr>
          <w:t>21</w:t>
        </w:r>
        <w:r w:rsidRPr="00A110E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2597A"/>
    <w:multiLevelType w:val="hybridMultilevel"/>
    <w:tmpl w:val="3C92F99A"/>
    <w:lvl w:ilvl="0" w:tplc="0A3E5728">
      <w:start w:val="1"/>
      <w:numFmt w:val="decimal"/>
      <w:lvlText w:val="%1."/>
      <w:lvlJc w:val="left"/>
      <w:pPr>
        <w:ind w:left="1211" w:hanging="360"/>
      </w:pPr>
      <w:rPr>
        <w:rFonts w:hint="default"/>
        <w:b w:val="0"/>
        <w:bCs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D86"/>
    <w:rsid w:val="0001027E"/>
    <w:rsid w:val="000165D6"/>
    <w:rsid w:val="00025A03"/>
    <w:rsid w:val="00071A77"/>
    <w:rsid w:val="00085275"/>
    <w:rsid w:val="000917EB"/>
    <w:rsid w:val="000E3A29"/>
    <w:rsid w:val="000F7893"/>
    <w:rsid w:val="0016309D"/>
    <w:rsid w:val="001A63E0"/>
    <w:rsid w:val="001F0A2E"/>
    <w:rsid w:val="00211B29"/>
    <w:rsid w:val="00217C43"/>
    <w:rsid w:val="00287E77"/>
    <w:rsid w:val="002A7165"/>
    <w:rsid w:val="002F15E2"/>
    <w:rsid w:val="00300A27"/>
    <w:rsid w:val="00303941"/>
    <w:rsid w:val="00305FC1"/>
    <w:rsid w:val="003362DE"/>
    <w:rsid w:val="00342943"/>
    <w:rsid w:val="00343607"/>
    <w:rsid w:val="00372977"/>
    <w:rsid w:val="00372CA9"/>
    <w:rsid w:val="003740BF"/>
    <w:rsid w:val="00377536"/>
    <w:rsid w:val="00392AA3"/>
    <w:rsid w:val="003A6B36"/>
    <w:rsid w:val="003C2925"/>
    <w:rsid w:val="003D596B"/>
    <w:rsid w:val="003D5F05"/>
    <w:rsid w:val="004122CD"/>
    <w:rsid w:val="00437278"/>
    <w:rsid w:val="004A3352"/>
    <w:rsid w:val="004A3A8C"/>
    <w:rsid w:val="00534854"/>
    <w:rsid w:val="0054365A"/>
    <w:rsid w:val="00554AB3"/>
    <w:rsid w:val="0057149F"/>
    <w:rsid w:val="00586B77"/>
    <w:rsid w:val="005B5667"/>
    <w:rsid w:val="006A23C3"/>
    <w:rsid w:val="006F6D2B"/>
    <w:rsid w:val="007448D1"/>
    <w:rsid w:val="00765612"/>
    <w:rsid w:val="007736B4"/>
    <w:rsid w:val="0078339B"/>
    <w:rsid w:val="0079510F"/>
    <w:rsid w:val="007F4D91"/>
    <w:rsid w:val="00831A66"/>
    <w:rsid w:val="00855C67"/>
    <w:rsid w:val="008612A3"/>
    <w:rsid w:val="008946BD"/>
    <w:rsid w:val="008A4182"/>
    <w:rsid w:val="0090699C"/>
    <w:rsid w:val="00914E40"/>
    <w:rsid w:val="00971118"/>
    <w:rsid w:val="0098226A"/>
    <w:rsid w:val="009A1B4D"/>
    <w:rsid w:val="009B351C"/>
    <w:rsid w:val="00A05442"/>
    <w:rsid w:val="00A110EA"/>
    <w:rsid w:val="00A55AAC"/>
    <w:rsid w:val="00A63202"/>
    <w:rsid w:val="00A74A19"/>
    <w:rsid w:val="00AB692F"/>
    <w:rsid w:val="00AD1CD9"/>
    <w:rsid w:val="00B13F95"/>
    <w:rsid w:val="00B1671D"/>
    <w:rsid w:val="00B8491C"/>
    <w:rsid w:val="00BA0819"/>
    <w:rsid w:val="00BD1273"/>
    <w:rsid w:val="00BF3E18"/>
    <w:rsid w:val="00C16680"/>
    <w:rsid w:val="00C57BC5"/>
    <w:rsid w:val="00C83280"/>
    <w:rsid w:val="00D42431"/>
    <w:rsid w:val="00D461A4"/>
    <w:rsid w:val="00D84F59"/>
    <w:rsid w:val="00DD69B4"/>
    <w:rsid w:val="00E02FF4"/>
    <w:rsid w:val="00E624D6"/>
    <w:rsid w:val="00E7090F"/>
    <w:rsid w:val="00E839E4"/>
    <w:rsid w:val="00E97540"/>
    <w:rsid w:val="00F0263E"/>
    <w:rsid w:val="00F70D86"/>
    <w:rsid w:val="00F92C2F"/>
    <w:rsid w:val="00FD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8EA4D"/>
  <w15:docId w15:val="{A2C3BB90-E0AE-4A60-8585-62CC576C8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Droid Sans Devanagari"/>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eastAsia="Times New Roman" w:hAnsi="Courier New" w:cs="Courier New"/>
      <w:color w:val="000000"/>
      <w:sz w:val="24"/>
      <w:lang w:val="vi-VN" w:bidi="ar-SA"/>
    </w:rPr>
  </w:style>
  <w:style w:type="paragraph" w:styleId="Heading1">
    <w:name w:val="heading 1"/>
    <w:basedOn w:val="Normal"/>
    <w:next w:val="Normal"/>
    <w:link w:val="Heading1Char"/>
    <w:uiPriority w:val="9"/>
    <w:qFormat/>
    <w:rsid w:val="00A110EA"/>
    <w:pPr>
      <w:keepNext/>
      <w:keepLines/>
      <w:widowControl/>
      <w:suppressAutoHyphens w:val="0"/>
      <w:spacing w:before="240"/>
      <w:outlineLvl w:val="0"/>
    </w:pPr>
    <w:rPr>
      <w:rFonts w:asciiTheme="majorHAnsi" w:eastAsiaTheme="majorEastAsia" w:hAnsiTheme="majorHAnsi" w:cstheme="majorBidi"/>
      <w:color w:val="0F4761" w:themeColor="accent1" w:themeShade="BF"/>
      <w:sz w:val="32"/>
      <w:szCs w:val="32"/>
      <w:lang w:eastAsia="vi-VN"/>
    </w:rPr>
  </w:style>
  <w:style w:type="paragraph" w:styleId="Heading6">
    <w:name w:val="heading 6"/>
    <w:basedOn w:val="Normal"/>
    <w:next w:val="Normal"/>
    <w:link w:val="Heading6Char"/>
    <w:uiPriority w:val="9"/>
    <w:semiHidden/>
    <w:unhideWhenUsed/>
    <w:qFormat/>
    <w:rsid w:val="00554AB3"/>
    <w:pPr>
      <w:keepNext/>
      <w:keepLines/>
      <w:spacing w:before="4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Droid Sans Fallback" w:hAnsi="Liberation Sans" w:cs="Droid Sans Devanagari"/>
      <w:sz w:val="28"/>
      <w:szCs w:val="28"/>
    </w:rPr>
  </w:style>
  <w:style w:type="paragraph" w:styleId="BodyText">
    <w:name w:val="Body Text"/>
    <w:basedOn w:val="Normal"/>
    <w:pPr>
      <w:spacing w:after="140" w:line="276" w:lineRule="auto"/>
    </w:pPr>
  </w:style>
  <w:style w:type="paragraph" w:styleId="List">
    <w:name w:val="List"/>
    <w:basedOn w:val="BodyText"/>
    <w:rPr>
      <w:rFonts w:cs="Droid Sans Devanagari"/>
    </w:rPr>
  </w:style>
  <w:style w:type="paragraph" w:styleId="Captio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ListParagraph">
    <w:name w:val="List Paragraph"/>
    <w:basedOn w:val="Normal"/>
    <w:uiPriority w:val="34"/>
    <w:qFormat/>
    <w:rsid w:val="003740BF"/>
    <w:pPr>
      <w:ind w:left="720"/>
      <w:contextualSpacing/>
    </w:pPr>
  </w:style>
  <w:style w:type="table" w:styleId="TableGrid">
    <w:name w:val="Table Grid"/>
    <w:basedOn w:val="TableNormal"/>
    <w:uiPriority w:val="39"/>
    <w:rsid w:val="00374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qFormat/>
    <w:rsid w:val="003740BF"/>
    <w:pPr>
      <w:widowControl/>
      <w:suppressAutoHyphens w:val="0"/>
    </w:pPr>
    <w:rPr>
      <w:rFonts w:ascii="Times New Roman" w:hAnsi="Times New Roman" w:cs="Times New Roman"/>
      <w:color w:val="auto"/>
      <w:sz w:val="20"/>
      <w:szCs w:val="20"/>
      <w:lang w:eastAsia="vi-VN"/>
    </w:rPr>
  </w:style>
  <w:style w:type="character" w:customStyle="1" w:styleId="CommentTextChar">
    <w:name w:val="Comment Text Char"/>
    <w:basedOn w:val="DefaultParagraphFont"/>
    <w:link w:val="CommentText"/>
    <w:uiPriority w:val="99"/>
    <w:rsid w:val="003740BF"/>
    <w:rPr>
      <w:rFonts w:ascii="Times New Roman" w:eastAsia="Times New Roman" w:hAnsi="Times New Roman" w:cs="Times New Roman"/>
      <w:szCs w:val="20"/>
      <w:lang w:val="vi-VN" w:eastAsia="vi-VN" w:bidi="ar-SA"/>
    </w:rPr>
  </w:style>
  <w:style w:type="character" w:styleId="CommentReference">
    <w:name w:val="annotation reference"/>
    <w:basedOn w:val="DefaultParagraphFont"/>
    <w:uiPriority w:val="99"/>
    <w:semiHidden/>
    <w:unhideWhenUsed/>
    <w:rsid w:val="003740BF"/>
    <w:rPr>
      <w:sz w:val="16"/>
      <w:szCs w:val="16"/>
    </w:rPr>
  </w:style>
  <w:style w:type="character" w:customStyle="1" w:styleId="Heading1Char">
    <w:name w:val="Heading 1 Char"/>
    <w:basedOn w:val="DefaultParagraphFont"/>
    <w:link w:val="Heading1"/>
    <w:uiPriority w:val="9"/>
    <w:rsid w:val="00A110EA"/>
    <w:rPr>
      <w:rFonts w:asciiTheme="majorHAnsi" w:eastAsiaTheme="majorEastAsia" w:hAnsiTheme="majorHAnsi" w:cstheme="majorBidi"/>
      <w:color w:val="0F4761" w:themeColor="accent1" w:themeShade="BF"/>
      <w:sz w:val="32"/>
      <w:szCs w:val="32"/>
      <w:lang w:val="vi-VN" w:eastAsia="vi-VN" w:bidi="ar-SA"/>
    </w:rPr>
  </w:style>
  <w:style w:type="paragraph" w:styleId="NormalWeb">
    <w:name w:val="Normal (Web)"/>
    <w:basedOn w:val="Normal"/>
    <w:link w:val="NormalWebChar"/>
    <w:uiPriority w:val="99"/>
    <w:unhideWhenUsed/>
    <w:qFormat/>
    <w:rsid w:val="00A110EA"/>
    <w:pPr>
      <w:widowControl/>
      <w:suppressAutoHyphens w:val="0"/>
      <w:spacing w:before="100" w:beforeAutospacing="1" w:after="100" w:afterAutospacing="1"/>
    </w:pPr>
    <w:rPr>
      <w:rFonts w:ascii="Times New Roman" w:hAnsi="Times New Roman" w:cs="Times New Roman"/>
      <w:color w:val="auto"/>
      <w:lang w:val="zh-CN"/>
    </w:rPr>
  </w:style>
  <w:style w:type="character" w:customStyle="1" w:styleId="NormalWebChar">
    <w:name w:val="Normal (Web) Char"/>
    <w:link w:val="NormalWeb"/>
    <w:uiPriority w:val="99"/>
    <w:qFormat/>
    <w:rsid w:val="00A110EA"/>
    <w:rPr>
      <w:rFonts w:ascii="Times New Roman" w:eastAsia="Times New Roman" w:hAnsi="Times New Roman" w:cs="Times New Roman"/>
      <w:sz w:val="24"/>
      <w:lang w:val="zh-CN" w:bidi="ar-SA"/>
    </w:rPr>
  </w:style>
  <w:style w:type="paragraph" w:styleId="Header">
    <w:name w:val="header"/>
    <w:basedOn w:val="Normal"/>
    <w:link w:val="HeaderChar"/>
    <w:uiPriority w:val="99"/>
    <w:unhideWhenUsed/>
    <w:rsid w:val="00A110EA"/>
    <w:pPr>
      <w:tabs>
        <w:tab w:val="center" w:pos="4513"/>
        <w:tab w:val="right" w:pos="9026"/>
      </w:tabs>
    </w:pPr>
  </w:style>
  <w:style w:type="character" w:customStyle="1" w:styleId="HeaderChar">
    <w:name w:val="Header Char"/>
    <w:basedOn w:val="DefaultParagraphFont"/>
    <w:link w:val="Header"/>
    <w:uiPriority w:val="99"/>
    <w:rsid w:val="00A110EA"/>
    <w:rPr>
      <w:rFonts w:ascii="Courier New" w:eastAsia="Times New Roman" w:hAnsi="Courier New" w:cs="Courier New"/>
      <w:color w:val="000000"/>
      <w:sz w:val="24"/>
      <w:lang w:val="vi-VN" w:bidi="ar-SA"/>
    </w:rPr>
  </w:style>
  <w:style w:type="paragraph" w:styleId="Footer">
    <w:name w:val="footer"/>
    <w:basedOn w:val="Normal"/>
    <w:link w:val="FooterChar"/>
    <w:uiPriority w:val="99"/>
    <w:unhideWhenUsed/>
    <w:rsid w:val="00A110EA"/>
    <w:pPr>
      <w:tabs>
        <w:tab w:val="center" w:pos="4513"/>
        <w:tab w:val="right" w:pos="9026"/>
      </w:tabs>
    </w:pPr>
  </w:style>
  <w:style w:type="character" w:customStyle="1" w:styleId="FooterChar">
    <w:name w:val="Footer Char"/>
    <w:basedOn w:val="DefaultParagraphFont"/>
    <w:link w:val="Footer"/>
    <w:uiPriority w:val="99"/>
    <w:rsid w:val="00A110EA"/>
    <w:rPr>
      <w:rFonts w:ascii="Courier New" w:eastAsia="Times New Roman" w:hAnsi="Courier New" w:cs="Courier New"/>
      <w:color w:val="000000"/>
      <w:sz w:val="24"/>
      <w:lang w:val="vi-VN" w:bidi="ar-SA"/>
    </w:rPr>
  </w:style>
  <w:style w:type="character" w:customStyle="1" w:styleId="Heading6Char">
    <w:name w:val="Heading 6 Char"/>
    <w:basedOn w:val="DefaultParagraphFont"/>
    <w:link w:val="Heading6"/>
    <w:uiPriority w:val="9"/>
    <w:semiHidden/>
    <w:rsid w:val="00554AB3"/>
    <w:rPr>
      <w:rFonts w:asciiTheme="majorHAnsi" w:eastAsiaTheme="majorEastAsia" w:hAnsiTheme="majorHAnsi" w:cstheme="majorBidi"/>
      <w:color w:val="0A2F40" w:themeColor="accent1" w:themeShade="7F"/>
      <w:sz w:val="24"/>
      <w:lang w:val="vi-V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49562">
      <w:bodyDiv w:val="1"/>
      <w:marLeft w:val="0"/>
      <w:marRight w:val="0"/>
      <w:marTop w:val="0"/>
      <w:marBottom w:val="0"/>
      <w:divBdr>
        <w:top w:val="none" w:sz="0" w:space="0" w:color="auto"/>
        <w:left w:val="none" w:sz="0" w:space="0" w:color="auto"/>
        <w:bottom w:val="none" w:sz="0" w:space="0" w:color="auto"/>
        <w:right w:val="none" w:sz="0" w:space="0" w:color="auto"/>
      </w:divBdr>
      <w:divsChild>
        <w:div w:id="1075279020">
          <w:marLeft w:val="0"/>
          <w:marRight w:val="0"/>
          <w:marTop w:val="0"/>
          <w:marBottom w:val="0"/>
          <w:divBdr>
            <w:top w:val="none" w:sz="0" w:space="0" w:color="auto"/>
            <w:left w:val="none" w:sz="0" w:space="0" w:color="auto"/>
            <w:bottom w:val="none" w:sz="0" w:space="0" w:color="auto"/>
            <w:right w:val="none" w:sz="0" w:space="0" w:color="auto"/>
          </w:divBdr>
          <w:divsChild>
            <w:div w:id="1595935172">
              <w:marLeft w:val="0"/>
              <w:marRight w:val="0"/>
              <w:marTop w:val="0"/>
              <w:marBottom w:val="0"/>
              <w:divBdr>
                <w:top w:val="none" w:sz="0" w:space="0" w:color="auto"/>
                <w:left w:val="none" w:sz="0" w:space="0" w:color="auto"/>
                <w:bottom w:val="none" w:sz="0" w:space="0" w:color="auto"/>
                <w:right w:val="none" w:sz="0" w:space="0" w:color="auto"/>
              </w:divBdr>
              <w:divsChild>
                <w:div w:id="1457718905">
                  <w:marLeft w:val="0"/>
                  <w:marRight w:val="0"/>
                  <w:marTop w:val="0"/>
                  <w:marBottom w:val="0"/>
                  <w:divBdr>
                    <w:top w:val="none" w:sz="0" w:space="0" w:color="auto"/>
                    <w:left w:val="none" w:sz="0" w:space="0" w:color="auto"/>
                    <w:bottom w:val="none" w:sz="0" w:space="0" w:color="auto"/>
                    <w:right w:val="none" w:sz="0" w:space="0" w:color="auto"/>
                  </w:divBdr>
                  <w:divsChild>
                    <w:div w:id="1449856310">
                      <w:marLeft w:val="0"/>
                      <w:marRight w:val="0"/>
                      <w:marTop w:val="0"/>
                      <w:marBottom w:val="0"/>
                      <w:divBdr>
                        <w:top w:val="none" w:sz="0" w:space="0" w:color="auto"/>
                        <w:left w:val="none" w:sz="0" w:space="0" w:color="auto"/>
                        <w:bottom w:val="none" w:sz="0" w:space="0" w:color="auto"/>
                        <w:right w:val="none" w:sz="0" w:space="0" w:color="auto"/>
                      </w:divBdr>
                      <w:divsChild>
                        <w:div w:id="1184443804">
                          <w:marLeft w:val="0"/>
                          <w:marRight w:val="0"/>
                          <w:marTop w:val="0"/>
                          <w:marBottom w:val="0"/>
                          <w:divBdr>
                            <w:top w:val="none" w:sz="0" w:space="0" w:color="auto"/>
                            <w:left w:val="none" w:sz="0" w:space="0" w:color="auto"/>
                            <w:bottom w:val="none" w:sz="0" w:space="0" w:color="auto"/>
                            <w:right w:val="none" w:sz="0" w:space="0" w:color="auto"/>
                          </w:divBdr>
                          <w:divsChild>
                            <w:div w:id="114913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479835">
      <w:bodyDiv w:val="1"/>
      <w:marLeft w:val="0"/>
      <w:marRight w:val="0"/>
      <w:marTop w:val="0"/>
      <w:marBottom w:val="0"/>
      <w:divBdr>
        <w:top w:val="none" w:sz="0" w:space="0" w:color="auto"/>
        <w:left w:val="none" w:sz="0" w:space="0" w:color="auto"/>
        <w:bottom w:val="none" w:sz="0" w:space="0" w:color="auto"/>
        <w:right w:val="none" w:sz="0" w:space="0" w:color="auto"/>
      </w:divBdr>
      <w:divsChild>
        <w:div w:id="1612205222">
          <w:marLeft w:val="0"/>
          <w:marRight w:val="0"/>
          <w:marTop w:val="0"/>
          <w:marBottom w:val="0"/>
          <w:divBdr>
            <w:top w:val="none" w:sz="0" w:space="0" w:color="auto"/>
            <w:left w:val="none" w:sz="0" w:space="0" w:color="auto"/>
            <w:bottom w:val="none" w:sz="0" w:space="0" w:color="auto"/>
            <w:right w:val="none" w:sz="0" w:space="0" w:color="auto"/>
          </w:divBdr>
          <w:divsChild>
            <w:div w:id="1338651407">
              <w:marLeft w:val="0"/>
              <w:marRight w:val="0"/>
              <w:marTop w:val="0"/>
              <w:marBottom w:val="0"/>
              <w:divBdr>
                <w:top w:val="none" w:sz="0" w:space="0" w:color="auto"/>
                <w:left w:val="none" w:sz="0" w:space="0" w:color="auto"/>
                <w:bottom w:val="none" w:sz="0" w:space="0" w:color="auto"/>
                <w:right w:val="none" w:sz="0" w:space="0" w:color="auto"/>
              </w:divBdr>
              <w:divsChild>
                <w:div w:id="1034814249">
                  <w:marLeft w:val="0"/>
                  <w:marRight w:val="0"/>
                  <w:marTop w:val="0"/>
                  <w:marBottom w:val="0"/>
                  <w:divBdr>
                    <w:top w:val="none" w:sz="0" w:space="0" w:color="auto"/>
                    <w:left w:val="none" w:sz="0" w:space="0" w:color="auto"/>
                    <w:bottom w:val="none" w:sz="0" w:space="0" w:color="auto"/>
                    <w:right w:val="none" w:sz="0" w:space="0" w:color="auto"/>
                  </w:divBdr>
                  <w:divsChild>
                    <w:div w:id="1554925721">
                      <w:marLeft w:val="0"/>
                      <w:marRight w:val="0"/>
                      <w:marTop w:val="0"/>
                      <w:marBottom w:val="0"/>
                      <w:divBdr>
                        <w:top w:val="none" w:sz="0" w:space="0" w:color="auto"/>
                        <w:left w:val="none" w:sz="0" w:space="0" w:color="auto"/>
                        <w:bottom w:val="none" w:sz="0" w:space="0" w:color="auto"/>
                        <w:right w:val="none" w:sz="0" w:space="0" w:color="auto"/>
                      </w:divBdr>
                      <w:divsChild>
                        <w:div w:id="498350266">
                          <w:marLeft w:val="0"/>
                          <w:marRight w:val="0"/>
                          <w:marTop w:val="0"/>
                          <w:marBottom w:val="0"/>
                          <w:divBdr>
                            <w:top w:val="none" w:sz="0" w:space="0" w:color="auto"/>
                            <w:left w:val="none" w:sz="0" w:space="0" w:color="auto"/>
                            <w:bottom w:val="none" w:sz="0" w:space="0" w:color="auto"/>
                            <w:right w:val="none" w:sz="0" w:space="0" w:color="auto"/>
                          </w:divBdr>
                          <w:divsChild>
                            <w:div w:id="17930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18619">
      <w:bodyDiv w:val="1"/>
      <w:marLeft w:val="0"/>
      <w:marRight w:val="0"/>
      <w:marTop w:val="0"/>
      <w:marBottom w:val="0"/>
      <w:divBdr>
        <w:top w:val="none" w:sz="0" w:space="0" w:color="auto"/>
        <w:left w:val="none" w:sz="0" w:space="0" w:color="auto"/>
        <w:bottom w:val="none" w:sz="0" w:space="0" w:color="auto"/>
        <w:right w:val="none" w:sz="0" w:space="0" w:color="auto"/>
      </w:divBdr>
      <w:divsChild>
        <w:div w:id="252206104">
          <w:marLeft w:val="0"/>
          <w:marRight w:val="0"/>
          <w:marTop w:val="0"/>
          <w:marBottom w:val="0"/>
          <w:divBdr>
            <w:top w:val="none" w:sz="0" w:space="0" w:color="auto"/>
            <w:left w:val="none" w:sz="0" w:space="0" w:color="auto"/>
            <w:bottom w:val="none" w:sz="0" w:space="0" w:color="auto"/>
            <w:right w:val="none" w:sz="0" w:space="0" w:color="auto"/>
          </w:divBdr>
          <w:divsChild>
            <w:div w:id="376707638">
              <w:marLeft w:val="0"/>
              <w:marRight w:val="0"/>
              <w:marTop w:val="0"/>
              <w:marBottom w:val="0"/>
              <w:divBdr>
                <w:top w:val="none" w:sz="0" w:space="0" w:color="auto"/>
                <w:left w:val="none" w:sz="0" w:space="0" w:color="auto"/>
                <w:bottom w:val="none" w:sz="0" w:space="0" w:color="auto"/>
                <w:right w:val="none" w:sz="0" w:space="0" w:color="auto"/>
              </w:divBdr>
              <w:divsChild>
                <w:div w:id="1146972238">
                  <w:marLeft w:val="0"/>
                  <w:marRight w:val="0"/>
                  <w:marTop w:val="0"/>
                  <w:marBottom w:val="0"/>
                  <w:divBdr>
                    <w:top w:val="none" w:sz="0" w:space="0" w:color="auto"/>
                    <w:left w:val="none" w:sz="0" w:space="0" w:color="auto"/>
                    <w:bottom w:val="none" w:sz="0" w:space="0" w:color="auto"/>
                    <w:right w:val="none" w:sz="0" w:space="0" w:color="auto"/>
                  </w:divBdr>
                  <w:divsChild>
                    <w:div w:id="992103528">
                      <w:marLeft w:val="0"/>
                      <w:marRight w:val="0"/>
                      <w:marTop w:val="0"/>
                      <w:marBottom w:val="0"/>
                      <w:divBdr>
                        <w:top w:val="none" w:sz="0" w:space="0" w:color="auto"/>
                        <w:left w:val="none" w:sz="0" w:space="0" w:color="auto"/>
                        <w:bottom w:val="none" w:sz="0" w:space="0" w:color="auto"/>
                        <w:right w:val="none" w:sz="0" w:space="0" w:color="auto"/>
                      </w:divBdr>
                      <w:divsChild>
                        <w:div w:id="2133787256">
                          <w:marLeft w:val="0"/>
                          <w:marRight w:val="0"/>
                          <w:marTop w:val="0"/>
                          <w:marBottom w:val="0"/>
                          <w:divBdr>
                            <w:top w:val="none" w:sz="0" w:space="0" w:color="auto"/>
                            <w:left w:val="none" w:sz="0" w:space="0" w:color="auto"/>
                            <w:bottom w:val="none" w:sz="0" w:space="0" w:color="auto"/>
                            <w:right w:val="none" w:sz="0" w:space="0" w:color="auto"/>
                          </w:divBdr>
                          <w:divsChild>
                            <w:div w:id="21355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577606">
      <w:bodyDiv w:val="1"/>
      <w:marLeft w:val="0"/>
      <w:marRight w:val="0"/>
      <w:marTop w:val="0"/>
      <w:marBottom w:val="0"/>
      <w:divBdr>
        <w:top w:val="none" w:sz="0" w:space="0" w:color="auto"/>
        <w:left w:val="none" w:sz="0" w:space="0" w:color="auto"/>
        <w:bottom w:val="none" w:sz="0" w:space="0" w:color="auto"/>
        <w:right w:val="none" w:sz="0" w:space="0" w:color="auto"/>
      </w:divBdr>
    </w:div>
    <w:div w:id="1658192174">
      <w:bodyDiv w:val="1"/>
      <w:marLeft w:val="0"/>
      <w:marRight w:val="0"/>
      <w:marTop w:val="0"/>
      <w:marBottom w:val="0"/>
      <w:divBdr>
        <w:top w:val="none" w:sz="0" w:space="0" w:color="auto"/>
        <w:left w:val="none" w:sz="0" w:space="0" w:color="auto"/>
        <w:bottom w:val="none" w:sz="0" w:space="0" w:color="auto"/>
        <w:right w:val="none" w:sz="0" w:space="0" w:color="auto"/>
      </w:divBdr>
    </w:div>
    <w:div w:id="1829709173">
      <w:bodyDiv w:val="1"/>
      <w:marLeft w:val="0"/>
      <w:marRight w:val="0"/>
      <w:marTop w:val="0"/>
      <w:marBottom w:val="0"/>
      <w:divBdr>
        <w:top w:val="none" w:sz="0" w:space="0" w:color="auto"/>
        <w:left w:val="none" w:sz="0" w:space="0" w:color="auto"/>
        <w:bottom w:val="none" w:sz="0" w:space="0" w:color="auto"/>
        <w:right w:val="none" w:sz="0" w:space="0" w:color="auto"/>
      </w:divBdr>
      <w:divsChild>
        <w:div w:id="904031192">
          <w:marLeft w:val="0"/>
          <w:marRight w:val="0"/>
          <w:marTop w:val="0"/>
          <w:marBottom w:val="0"/>
          <w:divBdr>
            <w:top w:val="none" w:sz="0" w:space="0" w:color="auto"/>
            <w:left w:val="none" w:sz="0" w:space="0" w:color="auto"/>
            <w:bottom w:val="none" w:sz="0" w:space="0" w:color="auto"/>
            <w:right w:val="none" w:sz="0" w:space="0" w:color="auto"/>
          </w:divBdr>
          <w:divsChild>
            <w:div w:id="386807686">
              <w:marLeft w:val="0"/>
              <w:marRight w:val="0"/>
              <w:marTop w:val="0"/>
              <w:marBottom w:val="0"/>
              <w:divBdr>
                <w:top w:val="none" w:sz="0" w:space="0" w:color="auto"/>
                <w:left w:val="none" w:sz="0" w:space="0" w:color="auto"/>
                <w:bottom w:val="none" w:sz="0" w:space="0" w:color="auto"/>
                <w:right w:val="none" w:sz="0" w:space="0" w:color="auto"/>
              </w:divBdr>
              <w:divsChild>
                <w:div w:id="1332026857">
                  <w:marLeft w:val="0"/>
                  <w:marRight w:val="0"/>
                  <w:marTop w:val="0"/>
                  <w:marBottom w:val="0"/>
                  <w:divBdr>
                    <w:top w:val="none" w:sz="0" w:space="0" w:color="auto"/>
                    <w:left w:val="none" w:sz="0" w:space="0" w:color="auto"/>
                    <w:bottom w:val="none" w:sz="0" w:space="0" w:color="auto"/>
                    <w:right w:val="none" w:sz="0" w:space="0" w:color="auto"/>
                  </w:divBdr>
                  <w:divsChild>
                    <w:div w:id="1559198734">
                      <w:marLeft w:val="0"/>
                      <w:marRight w:val="0"/>
                      <w:marTop w:val="0"/>
                      <w:marBottom w:val="0"/>
                      <w:divBdr>
                        <w:top w:val="none" w:sz="0" w:space="0" w:color="auto"/>
                        <w:left w:val="none" w:sz="0" w:space="0" w:color="auto"/>
                        <w:bottom w:val="none" w:sz="0" w:space="0" w:color="auto"/>
                        <w:right w:val="none" w:sz="0" w:space="0" w:color="auto"/>
                      </w:divBdr>
                      <w:divsChild>
                        <w:div w:id="1985085649">
                          <w:marLeft w:val="0"/>
                          <w:marRight w:val="0"/>
                          <w:marTop w:val="0"/>
                          <w:marBottom w:val="0"/>
                          <w:divBdr>
                            <w:top w:val="none" w:sz="0" w:space="0" w:color="auto"/>
                            <w:left w:val="none" w:sz="0" w:space="0" w:color="auto"/>
                            <w:bottom w:val="none" w:sz="0" w:space="0" w:color="auto"/>
                            <w:right w:val="none" w:sz="0" w:space="0" w:color="auto"/>
                          </w:divBdr>
                          <w:divsChild>
                            <w:div w:id="4022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026727">
      <w:bodyDiv w:val="1"/>
      <w:marLeft w:val="0"/>
      <w:marRight w:val="0"/>
      <w:marTop w:val="0"/>
      <w:marBottom w:val="0"/>
      <w:divBdr>
        <w:top w:val="none" w:sz="0" w:space="0" w:color="auto"/>
        <w:left w:val="none" w:sz="0" w:space="0" w:color="auto"/>
        <w:bottom w:val="none" w:sz="0" w:space="0" w:color="auto"/>
        <w:right w:val="none" w:sz="0" w:space="0" w:color="auto"/>
      </w:divBdr>
    </w:div>
    <w:div w:id="2064256274">
      <w:bodyDiv w:val="1"/>
      <w:marLeft w:val="0"/>
      <w:marRight w:val="0"/>
      <w:marTop w:val="0"/>
      <w:marBottom w:val="0"/>
      <w:divBdr>
        <w:top w:val="none" w:sz="0" w:space="0" w:color="auto"/>
        <w:left w:val="none" w:sz="0" w:space="0" w:color="auto"/>
        <w:bottom w:val="none" w:sz="0" w:space="0" w:color="auto"/>
        <w:right w:val="none" w:sz="0" w:space="0" w:color="auto"/>
      </w:divBdr>
      <w:divsChild>
        <w:div w:id="773328923">
          <w:marLeft w:val="0"/>
          <w:marRight w:val="0"/>
          <w:marTop w:val="0"/>
          <w:marBottom w:val="0"/>
          <w:divBdr>
            <w:top w:val="none" w:sz="0" w:space="0" w:color="auto"/>
            <w:left w:val="none" w:sz="0" w:space="0" w:color="auto"/>
            <w:bottom w:val="none" w:sz="0" w:space="0" w:color="auto"/>
            <w:right w:val="none" w:sz="0" w:space="0" w:color="auto"/>
          </w:divBdr>
          <w:divsChild>
            <w:div w:id="574125716">
              <w:marLeft w:val="0"/>
              <w:marRight w:val="0"/>
              <w:marTop w:val="0"/>
              <w:marBottom w:val="0"/>
              <w:divBdr>
                <w:top w:val="none" w:sz="0" w:space="0" w:color="auto"/>
                <w:left w:val="none" w:sz="0" w:space="0" w:color="auto"/>
                <w:bottom w:val="none" w:sz="0" w:space="0" w:color="auto"/>
                <w:right w:val="none" w:sz="0" w:space="0" w:color="auto"/>
              </w:divBdr>
              <w:divsChild>
                <w:div w:id="1984309512">
                  <w:marLeft w:val="0"/>
                  <w:marRight w:val="0"/>
                  <w:marTop w:val="0"/>
                  <w:marBottom w:val="0"/>
                  <w:divBdr>
                    <w:top w:val="none" w:sz="0" w:space="0" w:color="auto"/>
                    <w:left w:val="none" w:sz="0" w:space="0" w:color="auto"/>
                    <w:bottom w:val="none" w:sz="0" w:space="0" w:color="auto"/>
                    <w:right w:val="none" w:sz="0" w:space="0" w:color="auto"/>
                  </w:divBdr>
                  <w:divsChild>
                    <w:div w:id="2134865214">
                      <w:marLeft w:val="0"/>
                      <w:marRight w:val="0"/>
                      <w:marTop w:val="0"/>
                      <w:marBottom w:val="0"/>
                      <w:divBdr>
                        <w:top w:val="none" w:sz="0" w:space="0" w:color="auto"/>
                        <w:left w:val="none" w:sz="0" w:space="0" w:color="auto"/>
                        <w:bottom w:val="none" w:sz="0" w:space="0" w:color="auto"/>
                        <w:right w:val="none" w:sz="0" w:space="0" w:color="auto"/>
                      </w:divBdr>
                      <w:divsChild>
                        <w:div w:id="1217353334">
                          <w:marLeft w:val="0"/>
                          <w:marRight w:val="0"/>
                          <w:marTop w:val="0"/>
                          <w:marBottom w:val="0"/>
                          <w:divBdr>
                            <w:top w:val="none" w:sz="0" w:space="0" w:color="auto"/>
                            <w:left w:val="none" w:sz="0" w:space="0" w:color="auto"/>
                            <w:bottom w:val="none" w:sz="0" w:space="0" w:color="auto"/>
                            <w:right w:val="none" w:sz="0" w:space="0" w:color="auto"/>
                          </w:divBdr>
                          <w:divsChild>
                            <w:div w:id="198765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933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2025-11-24T04:59:00Z</cp:lastPrinted>
  <dcterms:created xsi:type="dcterms:W3CDTF">2026-05-13T03:26:00Z</dcterms:created>
  <dcterms:modified xsi:type="dcterms:W3CDTF">2026-05-13T03:26:00Z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2025-04-14T13:54:00Z</dcterms:created>
  <dc:creator>Windows 10</dc:creator>
  <dc:description/>
  <cp:keywords/>
  <dc:language>en-US</dc:language>
  <cp:lastModifiedBy>Windows 10</cp:lastModifiedBy>
  <dcterms:modified xsi:type="dcterms:W3CDTF">2025-04-14T13:54:00Z</dcterms:modified>
  <cp:revision>1</cp:revision>
  <dc:subject/>
  <dc:title/>
</cp:coreProperties>
</file>